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6"/>
        <w:spacing w:before="120" w:beforeAutospacing="0" w:after="120" w:afterAutospacing="0" w:line="360" w:lineRule="auto"/>
        <w:rPr>
          <w:highlight w:val="none"/>
        </w:rPr>
      </w:pPr>
      <w:r>
        <w:rPr>
          <w:highlight w:val="none"/>
        </w:rPr>
        <w:t xml:space="preserve"> </w:t>
      </w:r>
      <w:r/>
    </w:p>
    <w:p>
      <w:pPr>
        <w:pStyle w:val="846"/>
        <w:jc w:val="center"/>
        <w:spacing w:before="120" w:beforeAutospacing="0" w:after="120" w:afterAutospacing="0" w:line="360" w:lineRule="auto"/>
        <w:rPr>
          <w:highlight w:val="none"/>
        </w:rPr>
      </w:pPr>
      <w:r>
        <w:rPr>
          <w:rFonts w:hint="eastAsia" w:ascii="Arial" w:hAnsi="Arial" w:cs="Arial"/>
          <w:b/>
          <w:color w:val="000000"/>
          <w:sz w:val="84"/>
          <w:szCs w:val="84"/>
          <w:highlight w:val="none"/>
          <w:lang w:val="en-US" w:eastAsia="zh-CN"/>
        </w:rPr>
        <w:t xml:space="preserve"> </w:t>
      </w:r>
      <w:r>
        <w:rPr>
          <w:rFonts w:ascii="Arial" w:hAnsi="Arial" w:cs="Arial"/>
          <w:b/>
          <w:color w:val="000000"/>
          <w:sz w:val="84"/>
          <w:szCs w:val="84"/>
          <w:highlight w:val="none"/>
        </w:rPr>
        <w:t xml:space="preserve">招 标 文 件</w:t>
      </w:r>
      <w:r/>
    </w:p>
    <w:p>
      <w:pPr>
        <w:pStyle w:val="846"/>
        <w:ind w:firstLine="361"/>
        <w:spacing w:before="120" w:beforeAutospacing="0" w:after="120" w:afterAutospacing="0" w:line="360" w:lineRule="auto"/>
        <w:rPr>
          <w:rFonts w:ascii="Arial" w:hAnsi="Arial" w:cs="Arial"/>
          <w:b/>
          <w:color w:val="000000"/>
          <w:sz w:val="36"/>
          <w:szCs w:val="36"/>
          <w:highlight w:val="none"/>
        </w:rPr>
      </w:pPr>
      <w:r>
        <w:rPr>
          <w:rFonts w:ascii="Arial" w:hAnsi="Arial" w:cs="Arial"/>
          <w:b/>
          <w:color w:val="000000"/>
          <w:sz w:val="36"/>
          <w:szCs w:val="36"/>
          <w:highlight w:val="none"/>
        </w:rPr>
      </w:r>
      <w:r/>
    </w:p>
    <w:p>
      <w:pPr>
        <w:pStyle w:val="846"/>
        <w:ind w:firstLine="361"/>
        <w:spacing w:before="120" w:beforeAutospacing="0" w:after="120" w:afterAutospacing="0" w:line="360" w:lineRule="auto"/>
        <w:rPr>
          <w:rFonts w:hint="eastAsia" w:ascii="Arial" w:hAnsi="Arial" w:cs="Arial" w:eastAsiaTheme="minorEastAsia"/>
          <w:b/>
          <w:color w:val="000000"/>
          <w:sz w:val="36"/>
          <w:szCs w:val="36"/>
          <w:highlight w:val="none"/>
          <w:lang w:val="en-US" w:eastAsia="zh-CN"/>
        </w:rPr>
      </w:pPr>
      <w:r>
        <w:rPr>
          <w:rFonts w:hint="eastAsia" w:ascii="Arial" w:hAnsi="Arial" w:cs="Arial"/>
          <w:b/>
          <w:color w:val="000000"/>
          <w:sz w:val="36"/>
          <w:szCs w:val="36"/>
          <w:highlight w:val="none"/>
          <w:lang w:val="en-US" w:eastAsia="zh-CN"/>
        </w:rPr>
        <w:t xml:space="preserve"> </w:t>
      </w:r>
      <w:r/>
    </w:p>
    <w:p>
      <w:pPr>
        <w:pStyle w:val="846"/>
        <w:ind w:firstLine="361"/>
        <w:spacing w:before="120" w:beforeAutospacing="0" w:after="120" w:afterAutospacing="0" w:line="360" w:lineRule="auto"/>
        <w:rPr>
          <w:rFonts w:ascii="Arial" w:hAnsi="Arial" w:cs="Arial"/>
          <w:b/>
          <w:color w:val="000000"/>
          <w:sz w:val="36"/>
          <w:szCs w:val="36"/>
          <w:highlight w:val="none"/>
        </w:rPr>
      </w:pPr>
      <w:r>
        <w:rPr>
          <w:rFonts w:ascii="Arial" w:hAnsi="Arial" w:cs="Arial"/>
          <w:b/>
          <w:color w:val="000000"/>
          <w:sz w:val="36"/>
          <w:szCs w:val="36"/>
          <w:highlight w:val="none"/>
        </w:rPr>
      </w:r>
      <w:r/>
    </w:p>
    <w:p>
      <w:pPr>
        <w:pStyle w:val="846"/>
        <w:ind w:firstLine="1084"/>
        <w:spacing w:before="120" w:beforeAutospacing="0" w:after="120" w:afterAutospacing="0" w:line="360" w:lineRule="auto"/>
        <w:rPr>
          <w:sz w:val="36"/>
          <w:szCs w:val="36"/>
          <w:highlight w:val="none"/>
        </w:rPr>
      </w:pPr>
      <w:r>
        <w:rPr>
          <w:rFonts w:ascii="Arial" w:hAnsi="Arial" w:cs="Arial"/>
          <w:b/>
          <w:color w:val="000000"/>
          <w:sz w:val="36"/>
          <w:szCs w:val="36"/>
          <w:highlight w:val="none"/>
        </w:rPr>
        <w:t xml:space="preserve">项目名称：</w:t>
      </w:r>
      <w:r>
        <w:rPr>
          <w:rFonts w:hint="eastAsia" w:ascii="Arial" w:hAnsi="Arial" w:cs="Arial"/>
          <w:b/>
          <w:color w:val="000000"/>
          <w:sz w:val="36"/>
          <w:szCs w:val="36"/>
          <w:highlight w:val="none"/>
        </w:rPr>
        <w:t xml:space="preserve">滨海县民兵训练基地物资采购项目</w:t>
      </w:r>
      <w:r/>
    </w:p>
    <w:p>
      <w:pPr>
        <w:pStyle w:val="846"/>
        <w:ind w:firstLine="2249"/>
        <w:jc w:val="both"/>
        <w:spacing w:before="120" w:beforeAutospacing="0" w:after="120" w:afterAutospacing="0" w:line="360" w:lineRule="auto"/>
        <w:rPr>
          <w:rFonts w:ascii="Arial" w:hAnsi="Arial" w:cs="Arial"/>
          <w:b/>
          <w:color w:val="000000"/>
          <w:sz w:val="36"/>
          <w:szCs w:val="36"/>
          <w:highlight w:val="none"/>
        </w:rPr>
      </w:pPr>
      <w:r>
        <w:rPr>
          <w:rFonts w:ascii="Arial" w:hAnsi="Arial" w:cs="Arial"/>
          <w:b/>
          <w:color w:val="000000"/>
          <w:sz w:val="36"/>
          <w:szCs w:val="36"/>
          <w:highlight w:val="none"/>
        </w:rPr>
      </w:r>
      <w:r/>
    </w:p>
    <w:p>
      <w:pPr>
        <w:pStyle w:val="846"/>
        <w:ind w:firstLine="1084"/>
        <w:jc w:val="both"/>
        <w:spacing w:before="120" w:beforeAutospacing="0" w:after="120" w:afterAutospacing="0" w:line="360" w:lineRule="auto"/>
        <w:rPr>
          <w:sz w:val="36"/>
          <w:szCs w:val="36"/>
          <w:highlight w:val="none"/>
        </w:rPr>
      </w:pPr>
      <w:r>
        <w:rPr>
          <w:rFonts w:ascii="Arial" w:hAnsi="Arial" w:cs="Arial"/>
          <w:b/>
          <w:color w:val="000000"/>
          <w:sz w:val="36"/>
          <w:szCs w:val="36"/>
          <w:highlight w:val="none"/>
        </w:rPr>
        <w:t xml:space="preserve">项目编号：</w:t>
      </w:r>
      <w:r>
        <w:rPr>
          <w:rFonts w:hint="eastAsia" w:ascii="Arial" w:hAnsi="Arial" w:cs="Arial"/>
          <w:b/>
          <w:color w:val="000000"/>
          <w:sz w:val="36"/>
          <w:szCs w:val="36"/>
          <w:highlight w:val="none"/>
        </w:rPr>
        <w:t xml:space="preserve">JSZC-320922-JZCG-G2025-0024</w:t>
      </w:r>
      <w:r/>
    </w:p>
    <w:p>
      <w:pPr>
        <w:pStyle w:val="846"/>
        <w:spacing w:beforeAutospacing="0" w:afterAutospacing="0" w:line="360" w:lineRule="auto"/>
        <w:rPr>
          <w:highlight w:val="none"/>
        </w:rPr>
      </w:pPr>
      <w:r>
        <w:rPr>
          <w:highlight w:val="none"/>
        </w:rPr>
        <w:t xml:space="preserve"> </w:t>
      </w:r>
      <w:r/>
    </w:p>
    <w:p>
      <w:pPr>
        <w:pStyle w:val="846"/>
        <w:spacing w:beforeAutospacing="0" w:afterAutospacing="0" w:line="360" w:lineRule="auto"/>
        <w:rPr>
          <w:highlight w:val="none"/>
        </w:rPr>
      </w:pPr>
      <w:r>
        <w:rPr>
          <w:highlight w:val="none"/>
        </w:rPr>
        <w:t xml:space="preserve"> </w:t>
      </w:r>
      <w:r/>
    </w:p>
    <w:p>
      <w:pPr>
        <w:pStyle w:val="846"/>
        <w:spacing w:beforeAutospacing="0" w:afterAutospacing="0" w:line="360" w:lineRule="auto"/>
        <w:rPr>
          <w:highlight w:val="none"/>
        </w:rPr>
      </w:pPr>
      <w:r>
        <w:rPr>
          <w:highlight w:val="none"/>
        </w:rPr>
        <w:t xml:space="preserve"> </w:t>
      </w:r>
      <w:r/>
    </w:p>
    <w:p>
      <w:pPr>
        <w:pStyle w:val="846"/>
        <w:spacing w:beforeAutospacing="0" w:afterAutospacing="0" w:line="360" w:lineRule="auto"/>
        <w:rPr>
          <w:highlight w:val="none"/>
        </w:rPr>
      </w:pPr>
      <w:r>
        <w:rPr>
          <w:highlight w:val="none"/>
        </w:rPr>
        <w:t xml:space="preserve"> </w:t>
      </w:r>
      <w:r/>
    </w:p>
    <w:p>
      <w:pPr>
        <w:pStyle w:val="846"/>
        <w:spacing w:beforeAutospacing="0" w:afterAutospacing="0" w:line="360" w:lineRule="auto"/>
        <w:rPr>
          <w:highlight w:val="none"/>
        </w:rPr>
      </w:pPr>
      <w:r>
        <w:rPr>
          <w:highlight w:val="none"/>
        </w:rPr>
        <w:t xml:space="preserve"> </w:t>
      </w:r>
      <w:r/>
    </w:p>
    <w:p>
      <w:pPr>
        <w:pStyle w:val="846"/>
        <w:spacing w:beforeAutospacing="0" w:afterAutospacing="0" w:line="360" w:lineRule="auto"/>
        <w:rPr>
          <w:highlight w:val="none"/>
        </w:rPr>
      </w:pPr>
      <w:r>
        <w:rPr>
          <w:highlight w:val="none"/>
        </w:rPr>
        <w:t xml:space="preserve"> </w:t>
      </w:r>
      <w:r/>
    </w:p>
    <w:p>
      <w:pPr>
        <w:pStyle w:val="846"/>
        <w:spacing w:beforeAutospacing="0" w:afterAutospacing="0" w:line="360" w:lineRule="auto"/>
        <w:rPr>
          <w:highlight w:val="none"/>
        </w:rPr>
      </w:pPr>
      <w:r>
        <w:rPr>
          <w:highlight w:val="none"/>
        </w:rPr>
        <w:t xml:space="preserve"> </w:t>
      </w:r>
      <w:r/>
    </w:p>
    <w:p>
      <w:pPr>
        <w:pStyle w:val="846"/>
        <w:jc w:val="center"/>
        <w:spacing w:before="120" w:beforeAutospacing="0" w:after="120" w:afterAutospacing="0" w:line="360" w:lineRule="auto"/>
        <w:rPr>
          <w:rFonts w:hint="default" w:ascii="Arial" w:hAnsi="Arial" w:cs="Arial" w:eastAsiaTheme="minorEastAsia"/>
          <w:b/>
          <w:color w:val="000000"/>
          <w:sz w:val="36"/>
          <w:szCs w:val="36"/>
          <w:highlight w:val="none"/>
          <w:lang w:val="en-US" w:eastAsia="zh-CN"/>
        </w:rPr>
      </w:pPr>
      <w:r>
        <w:rPr>
          <w:rFonts w:hint="eastAsia" w:ascii="Arial" w:hAnsi="Arial" w:cs="Arial"/>
          <w:b/>
          <w:color w:val="000000"/>
          <w:sz w:val="36"/>
          <w:szCs w:val="36"/>
          <w:highlight w:val="none"/>
        </w:rPr>
        <w:t xml:space="preserve">采购单位</w:t>
      </w:r>
      <w:r>
        <w:rPr>
          <w:rFonts w:hint="eastAsia" w:ascii="Arial" w:hAnsi="Arial" w:cs="Arial"/>
          <w:b/>
          <w:color w:val="000000"/>
          <w:sz w:val="36"/>
          <w:szCs w:val="36"/>
          <w:highlight w:val="none"/>
          <w:lang w:eastAsia="zh-CN"/>
        </w:rPr>
        <w:t xml:space="preserve">：滨海县退役军人事务局</w:t>
      </w:r>
      <w:r/>
    </w:p>
    <w:p>
      <w:pPr>
        <w:pStyle w:val="846"/>
        <w:jc w:val="center"/>
        <w:spacing w:before="120" w:beforeAutospacing="0" w:after="120" w:afterAutospacing="0" w:line="360" w:lineRule="auto"/>
        <w:rPr>
          <w:sz w:val="36"/>
          <w:szCs w:val="36"/>
          <w:highlight w:val="none"/>
        </w:rPr>
      </w:pPr>
      <w:r>
        <w:rPr>
          <w:rFonts w:hint="eastAsia" w:ascii="Arial" w:hAnsi="Arial" w:cs="Arial"/>
          <w:b/>
          <w:color w:val="000000"/>
          <w:sz w:val="36"/>
          <w:szCs w:val="36"/>
          <w:highlight w:val="none"/>
          <w:lang w:val="en-US" w:eastAsia="zh-CN"/>
        </w:rPr>
        <w:t xml:space="preserve">2025</w:t>
      </w:r>
      <w:r>
        <w:rPr>
          <w:rFonts w:ascii="Arial" w:hAnsi="Arial" w:cs="Arial"/>
          <w:b/>
          <w:color w:val="000000"/>
          <w:sz w:val="36"/>
          <w:szCs w:val="36"/>
          <w:highlight w:val="none"/>
        </w:rPr>
        <w:t xml:space="preserve">年</w:t>
      </w:r>
      <w:r>
        <w:rPr>
          <w:rFonts w:hint="eastAsia" w:ascii="Arial" w:hAnsi="Arial" w:cs="Arial"/>
          <w:b/>
          <w:color w:val="000000"/>
          <w:sz w:val="36"/>
          <w:szCs w:val="36"/>
          <w:highlight w:val="none"/>
          <w:lang w:val="en-US" w:eastAsia="zh-CN"/>
        </w:rPr>
        <w:t xml:space="preserve">11</w:t>
      </w:r>
      <w:r>
        <w:rPr>
          <w:rFonts w:ascii="Arial" w:hAnsi="Arial" w:cs="Arial"/>
          <w:b/>
          <w:color w:val="000000"/>
          <w:sz w:val="36"/>
          <w:szCs w:val="36"/>
          <w:highlight w:val="none"/>
        </w:rPr>
        <w:t xml:space="preserve">月</w:t>
      </w:r>
      <w:r/>
    </w:p>
    <w:p>
      <w:pPr>
        <w:pStyle w:val="846"/>
        <w:spacing w:before="120" w:beforeAutospacing="0" w:after="120" w:afterAutospacing="0" w:line="360" w:lineRule="auto"/>
        <w:rPr>
          <w:highlight w:val="none"/>
        </w:rPr>
      </w:pPr>
      <w:r>
        <w:rPr>
          <w:rFonts w:ascii="Arial" w:hAnsi="Arial" w:cs="Arial"/>
          <w:color w:val="000000"/>
          <w:highlight w:val="none"/>
        </w:rPr>
        <w:t xml:space="preserve">                        </w:t>
      </w:r>
      <w:r/>
    </w:p>
    <w:p>
      <w:pPr>
        <w:pStyle w:val="846"/>
        <w:jc w:val="center"/>
        <w:spacing w:before="120" w:beforeAutospacing="0" w:after="120" w:afterAutospacing="0" w:line="360" w:lineRule="auto"/>
        <w:rPr>
          <w:highlight w:val="none"/>
        </w:rPr>
      </w:pPr>
      <w:r>
        <w:rPr>
          <w:highlight w:val="none"/>
        </w:rPr>
        <w:t xml:space="preserve"> </w:t>
      </w:r>
      <w:r/>
    </w:p>
    <w:p>
      <w:pPr>
        <w:pStyle w:val="846"/>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16938516"/>
      <w:r/>
      <w:bookmarkStart w:id="1" w:name="_Toc523127445"/>
      <w:r/>
      <w:bookmarkStart w:id="2" w:name="_Toc120614210"/>
      <w:r/>
      <w:bookmarkStart w:id="3" w:name="_Toc479757206"/>
      <w:r/>
      <w:bookmarkStart w:id="4" w:name="_Toc20823272"/>
      <w:r/>
      <w:bookmarkStart w:id="5" w:name="_Toc513029200"/>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46"/>
        <w:jc w:val="both"/>
        <w:spacing w:beforeAutospacing="0" w:afterAutospacing="0" w:line="480" w:lineRule="auto"/>
        <w:rPr>
          <w:highlight w:val="none"/>
        </w:rPr>
      </w:pPr>
      <w:r>
        <w:rPr>
          <w:highlight w:val="none"/>
        </w:rPr>
        <w:t xml:space="preserve"> </w:t>
      </w:r>
      <w:r/>
    </w:p>
    <w:p>
      <w:pPr>
        <w:pStyle w:val="846"/>
        <w:ind w:left="2160" w:hanging="1440"/>
        <w:jc w:val="both"/>
        <w:keepLines w:val="0"/>
        <w:keepNext w:val="0"/>
        <w:pageBreakBefore w:val="0"/>
        <w:spacing w:beforeAutospacing="0" w:afterAutospacing="0" w:line="720" w:lineRule="auto"/>
        <w:widowControl w:val="off"/>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第一章  招标公告</w:t>
      </w:r>
      <w:r>
        <w:rPr>
          <w:rFonts w:hint="eastAsia" w:ascii="黑体" w:hAnsi="宋体" w:eastAsia="黑体" w:cs="黑体"/>
          <w:color w:val="000000"/>
          <w:sz w:val="36"/>
          <w:szCs w:val="36"/>
          <w:highlight w:val="none"/>
        </w:rPr>
        <w:t xml:space="preserve"> </w:t>
      </w:r>
      <w:r/>
    </w:p>
    <w:p>
      <w:pPr>
        <w:pStyle w:val="846"/>
        <w:ind w:left="2160" w:hanging="1440"/>
        <w:jc w:val="both"/>
        <w:keepLines w:val="0"/>
        <w:keepNext w:val="0"/>
        <w:pageBreakBefore w:val="0"/>
        <w:spacing w:beforeAutospacing="0" w:afterAutospacing="0" w:line="720" w:lineRule="auto"/>
        <w:widowControl w:val="off"/>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 xml:space="preserve">投标人须知  </w:t>
      </w:r>
      <w:r/>
    </w:p>
    <w:p>
      <w:pPr>
        <w:pStyle w:val="846"/>
        <w:ind w:left="2160" w:hanging="1440"/>
        <w:jc w:val="both"/>
        <w:keepLines w:val="0"/>
        <w:keepNext w:val="0"/>
        <w:pageBreakBefore w:val="0"/>
        <w:spacing w:beforeAutospacing="0" w:afterAutospacing="0" w:line="720" w:lineRule="auto"/>
        <w:widowControl w:val="off"/>
        <w:tabs>
          <w:tab w:val="left" w:pos="1441" w:leader="none"/>
        </w:tabs>
        <w:rPr>
          <w:rFonts w:hint="eastAsia" w:ascii="黑体" w:hAnsi="宋体" w:eastAsia="黑体" w:cs="黑体"/>
          <w:color w:val="000000"/>
          <w:sz w:val="36"/>
          <w:szCs w:val="36"/>
          <w:highlight w:val="none"/>
          <w:lang w:eastAsia="zh-CN"/>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p>
    <w:p>
      <w:pPr>
        <w:pStyle w:val="846"/>
        <w:ind w:left="2160" w:hanging="1440"/>
        <w:jc w:val="both"/>
        <w:keepLines w:val="0"/>
        <w:keepNext w:val="0"/>
        <w:pageBreakBefore w:val="0"/>
        <w:spacing w:beforeAutospacing="0" w:afterAutospacing="0" w:line="720" w:lineRule="auto"/>
        <w:widowControl w:val="off"/>
        <w:tabs>
          <w:tab w:val="left" w:pos="1441" w:leader="none"/>
        </w:tabs>
        <w:rPr>
          <w:rFonts w:hint="eastAsia" w:ascii="黑体" w:hAnsi="宋体" w:eastAsia="黑体" w:cs="黑体"/>
          <w:color w:val="000000"/>
          <w:sz w:val="36"/>
          <w:szCs w:val="36"/>
          <w:highlight w:val="none"/>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 xml:space="preserve">采购需求</w:t>
      </w:r>
      <w:r/>
    </w:p>
    <w:p>
      <w:pPr>
        <w:pStyle w:val="846"/>
        <w:ind w:left="2160" w:hanging="1440"/>
        <w:jc w:val="both"/>
        <w:keepLines w:val="0"/>
        <w:keepNext w:val="0"/>
        <w:pageBreakBefore w:val="0"/>
        <w:spacing w:beforeAutospacing="0" w:afterAutospacing="0" w:line="720" w:lineRule="auto"/>
        <w:widowControl w:val="off"/>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 xml:space="preserve">评标方法与评标标准</w:t>
      </w:r>
      <w:r/>
    </w:p>
    <w:p>
      <w:pPr>
        <w:pStyle w:val="846"/>
        <w:ind w:left="2160" w:hanging="1440"/>
        <w:jc w:val="both"/>
        <w:keepLines w:val="0"/>
        <w:keepNext w:val="0"/>
        <w:pageBreakBefore w:val="0"/>
        <w:spacing w:beforeAutospacing="0" w:afterAutospacing="0" w:line="720" w:lineRule="auto"/>
        <w:widowControl w:val="off"/>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 xml:space="preserve">投标文件格式</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r>
      <w:r>
        <w:rPr>
          <w:highlight w:val="none"/>
        </w:rPr>
      </w:r>
      <w:r/>
    </w:p>
    <w:p>
      <w:pPr>
        <w:pStyle w:val="846"/>
        <w:jc w:val="both"/>
        <w:spacing w:beforeAutospacing="0" w:afterAutospacing="0"/>
        <w:rPr>
          <w:rFonts w:hint="eastAsia" w:ascii="黑体" w:hAnsi="宋体" w:eastAsia="黑体" w:cs="黑体"/>
          <w:color w:val="000000"/>
          <w:sz w:val="44"/>
          <w:szCs w:val="44"/>
          <w:highlight w:val="none"/>
        </w:rPr>
      </w:pPr>
      <w:r>
        <w:rPr>
          <w:highlight w:val="none"/>
        </w:rPr>
        <w:t xml:space="preserve"> </w:t>
      </w:r>
      <w:bookmarkStart w:id="6" w:name="_Toc28359086"/>
      <w:r/>
      <w:r/>
    </w:p>
    <w:p>
      <w:pPr>
        <w:pStyle w:val="846"/>
        <w:jc w:val="center"/>
        <w:keepNext/>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46"/>
        <w:ind w:firstLine="480"/>
        <w:jc w:val="both"/>
        <w:pageBreakBefore w:val="0"/>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46"/>
        <w:ind w:firstLine="480"/>
        <w:jc w:val="both"/>
        <w:pageBreakBefore w:val="0"/>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rPr>
        <w:t xml:space="preserve">滨海县民兵训练基地物资采购项目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2025</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12</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u w:val="single"/>
          <w:lang w:val="en-US" w:eastAsia="zh-CN"/>
        </w:rPr>
        <w:t xml:space="preserve">00秒</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北京时间）前递交投标文件。</w:t>
      </w:r>
      <w:r/>
    </w:p>
    <w:p>
      <w:pPr>
        <w:pStyle w:val="846"/>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bookmarkStart w:id="7" w:name="_Toc35393790"/>
      <w:r/>
      <w:bookmarkStart w:id="8" w:name="_Hlk24379207"/>
      <w:r/>
      <w:bookmarkStart w:id="9" w:name="_Toc28359002"/>
      <w:r/>
      <w:bookmarkStart w:id="10" w:name="_Toc35393621"/>
      <w:r/>
      <w:bookmarkStart w:id="11" w:name="_Toc28359079"/>
      <w:r/>
      <w:bookmarkStart w:id="12" w:name="_Toc38985263"/>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
    </w:p>
    <w:p>
      <w:pPr>
        <w:pStyle w:val="846"/>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1.项目编号：JSZC-320922-JZCG-G2025-0024</w:t>
      </w:r>
      <w:r/>
    </w:p>
    <w:p>
      <w:pPr>
        <w:pStyle w:val="846"/>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2.项目名称：滨海县民兵训练基地物资采购项目</w:t>
      </w:r>
      <w:r/>
    </w:p>
    <w:p>
      <w:pPr>
        <w:pStyle w:val="846"/>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采购方式：</w:t>
      </w:r>
      <w:r>
        <w:rPr>
          <w:rFonts w:hint="eastAsia" w:ascii="宋体" w:hAnsi="宋体" w:eastAsia="宋体" w:cs="宋体"/>
          <w:color w:val="000000"/>
          <w:sz w:val="24"/>
          <w:szCs w:val="24"/>
          <w:highlight w:val="none"/>
          <w:shd w:val="clear" w:color="auto" w:fill="auto"/>
          <w:lang w:val="en-US" w:eastAsia="zh-CN"/>
        </w:rPr>
        <w:t xml:space="preserve">公开招标</w:t>
      </w:r>
      <w:r/>
    </w:p>
    <w:p>
      <w:pPr>
        <w:pStyle w:val="846"/>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rPr>
        <w:t xml:space="preserve">.预算金额：人民币</w:t>
      </w:r>
      <w:r>
        <w:rPr>
          <w:rFonts w:hint="eastAsia" w:ascii="宋体" w:hAnsi="宋体" w:eastAsia="宋体" w:cs="宋体"/>
          <w:color w:val="000000"/>
          <w:sz w:val="24"/>
          <w:szCs w:val="24"/>
          <w:highlight w:val="none"/>
          <w:shd w:val="clear" w:color="auto" w:fill="auto"/>
          <w:lang w:val="en-US" w:eastAsia="zh-CN"/>
        </w:rPr>
        <w:t xml:space="preserve">400</w:t>
      </w:r>
      <w:r>
        <w:rPr>
          <w:rFonts w:hint="eastAsia" w:ascii="宋体" w:hAnsi="宋体" w:eastAsia="宋体" w:cs="宋体"/>
          <w:color w:val="000000"/>
          <w:sz w:val="24"/>
          <w:szCs w:val="24"/>
          <w:highlight w:val="none"/>
          <w:shd w:val="clear" w:color="auto" w:fill="auto"/>
        </w:rPr>
        <w:t xml:space="preserve">万元</w:t>
      </w:r>
      <w:r/>
    </w:p>
    <w:p>
      <w:pPr>
        <w:pStyle w:val="846"/>
        <w:ind w:firstLine="480"/>
        <w:jc w:val="both"/>
        <w:pageBreakBefore w:val="0"/>
        <w:spacing w:beforeAutospacing="0" w:afterAutospacing="0" w:line="360" w:lineRule="auto"/>
        <w:rPr>
          <w:rFonts w:hint="default" w:ascii="宋体" w:hAnsi="宋体" w:cs="宋体" w:eastAsiaTheme="minorEastAsia"/>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w:t>
      </w:r>
      <w:r>
        <w:rPr>
          <w:rFonts w:hint="eastAsia" w:ascii="宋体" w:hAnsi="宋体" w:eastAsia="宋体" w:cs="宋体"/>
          <w:color w:val="000000"/>
          <w:sz w:val="24"/>
          <w:szCs w:val="24"/>
          <w:highlight w:val="none"/>
          <w:shd w:val="clear" w:color="auto" w:fill="auto"/>
        </w:rPr>
        <w:t xml:space="preserve">最高限价：人民币</w:t>
      </w:r>
      <w:r>
        <w:rPr>
          <w:rFonts w:hint="eastAsia" w:ascii="宋体" w:hAnsi="宋体" w:eastAsia="宋体" w:cs="宋体"/>
          <w:color w:val="000000"/>
          <w:sz w:val="24"/>
          <w:szCs w:val="24"/>
          <w:highlight w:val="none"/>
          <w:shd w:val="clear" w:color="auto" w:fill="auto"/>
          <w:lang w:val="en-US" w:eastAsia="zh-CN"/>
        </w:rPr>
        <w:t xml:space="preserve">370</w:t>
      </w:r>
      <w:r>
        <w:rPr>
          <w:rFonts w:hint="eastAsia" w:ascii="宋体" w:hAnsi="宋体" w:eastAsia="宋体" w:cs="宋体"/>
          <w:color w:val="000000"/>
          <w:sz w:val="24"/>
          <w:szCs w:val="24"/>
          <w:highlight w:val="none"/>
          <w:shd w:val="clear" w:color="auto" w:fill="auto"/>
        </w:rPr>
        <w:t xml:space="preserve">万元</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cs="宋体"/>
          <w:sz w:val="24"/>
          <w:szCs w:val="24"/>
        </w:rPr>
        <w:t xml:space="preserve">包件一人民币</w:t>
      </w:r>
      <w:r>
        <w:rPr>
          <w:rFonts w:hint="eastAsia" w:ascii="宋体" w:hAnsi="宋体" w:cs="宋体"/>
          <w:sz w:val="24"/>
          <w:szCs w:val="24"/>
          <w:lang w:val="en-US" w:eastAsia="zh-CN"/>
        </w:rPr>
        <w:t xml:space="preserve">280</w:t>
      </w:r>
      <w:r>
        <w:rPr>
          <w:rFonts w:hint="eastAsia" w:ascii="宋体" w:hAnsi="宋体" w:cs="宋体"/>
          <w:sz w:val="24"/>
          <w:szCs w:val="24"/>
        </w:rPr>
        <w:t xml:space="preserve">万元、包件二人民币</w:t>
      </w:r>
      <w:r>
        <w:rPr>
          <w:rFonts w:hint="eastAsia" w:ascii="宋体" w:hAnsi="宋体" w:cs="宋体"/>
          <w:sz w:val="24"/>
          <w:szCs w:val="24"/>
          <w:lang w:val="en-US" w:eastAsia="zh-CN"/>
        </w:rPr>
        <w:t xml:space="preserve">90</w:t>
      </w:r>
      <w:r>
        <w:rPr>
          <w:rFonts w:hint="eastAsia" w:ascii="宋体" w:hAnsi="宋体" w:cs="宋体"/>
          <w:sz w:val="24"/>
          <w:szCs w:val="24"/>
        </w:rPr>
        <w:t xml:space="preserve">万元</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 </w:t>
      </w:r>
      <w:r/>
    </w:p>
    <w:tbl>
      <w:tblPr>
        <w:tblStyle w:val="837"/>
        <w:tblW w:w="777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8"/>
        <w:gridCol w:w="4408"/>
        <w:gridCol w:w="2026"/>
      </w:tblGrid>
      <w:tr>
        <w:trPr>
          <w:jc w:val="center"/>
          <w:trHeight w:val="317"/>
        </w:trPr>
        <w:tc>
          <w:tcPr>
            <w:tcBorders>
              <w:top w:val="single" w:color="auto" w:sz="8" w:space="0"/>
              <w:left w:val="single" w:color="auto" w:sz="8" w:space="0"/>
              <w:bottom w:val="single" w:color="auto" w:sz="4" w:space="0"/>
              <w:right w:val="single" w:color="auto" w:sz="4" w:space="0"/>
            </w:tcBorders>
            <w:tcW w:w="1338" w:type="dxa"/>
            <w:vAlign w:val="center"/>
            <w:textDirection w:val="lrTb"/>
            <w:noWrap w:val="false"/>
          </w:tcPr>
          <w:p>
            <w:pPr>
              <w:jc w:val="center"/>
              <w:spacing w:line="420" w:lineRule="auto"/>
              <w:rPr>
                <w:rFonts w:ascii="宋体" w:hAnsi="宋体" w:cs="宋体"/>
                <w:sz w:val="24"/>
                <w:szCs w:val="24"/>
              </w:rPr>
            </w:pPr>
            <w:r>
              <w:rPr>
                <w:rFonts w:hint="eastAsia" w:ascii="宋体" w:hAnsi="宋体" w:cs="宋体"/>
                <w:sz w:val="24"/>
                <w:szCs w:val="24"/>
              </w:rPr>
              <w:t xml:space="preserve">采购包号</w:t>
            </w:r>
            <w:r/>
          </w:p>
        </w:tc>
        <w:tc>
          <w:tcPr>
            <w:tcBorders>
              <w:top w:val="single" w:color="auto" w:sz="8" w:space="0"/>
              <w:left w:val="single" w:color="auto" w:sz="4" w:space="0"/>
              <w:bottom w:val="single" w:color="auto" w:sz="4" w:space="0"/>
              <w:right w:val="single" w:color="auto" w:sz="4" w:space="0"/>
            </w:tcBorders>
            <w:tcW w:w="4408" w:type="dxa"/>
            <w:vAlign w:val="center"/>
            <w:textDirection w:val="lrTb"/>
            <w:noWrap w:val="false"/>
          </w:tcPr>
          <w:p>
            <w:pPr>
              <w:jc w:val="center"/>
              <w:spacing w:line="420" w:lineRule="auto"/>
              <w:tabs>
                <w:tab w:val="left" w:pos="1710" w:leader="none"/>
              </w:tabs>
              <w:rPr>
                <w:rFonts w:ascii="宋体" w:hAnsi="宋体" w:cs="宋体"/>
                <w:sz w:val="24"/>
                <w:szCs w:val="24"/>
              </w:rPr>
            </w:pPr>
            <w:r>
              <w:rPr>
                <w:rFonts w:hint="eastAsia" w:ascii="宋体" w:hAnsi="宋体" w:cs="宋体"/>
                <w:sz w:val="24"/>
                <w:szCs w:val="24"/>
                <w:lang w:val="en-US" w:eastAsia="zh-CN"/>
              </w:rPr>
              <w:t xml:space="preserve">采购</w:t>
            </w:r>
            <w:r>
              <w:rPr>
                <w:rFonts w:hint="eastAsia" w:ascii="宋体" w:hAnsi="宋体" w:cs="宋体"/>
                <w:sz w:val="24"/>
                <w:szCs w:val="24"/>
              </w:rPr>
              <w:t xml:space="preserve">内容</w:t>
            </w:r>
            <w:r/>
          </w:p>
        </w:tc>
        <w:tc>
          <w:tcPr>
            <w:tcBorders>
              <w:top w:val="single" w:color="auto" w:sz="8" w:space="0"/>
              <w:left w:val="single" w:color="auto" w:sz="4" w:space="0"/>
              <w:bottom w:val="single" w:color="auto" w:sz="4" w:space="0"/>
              <w:right w:val="single" w:color="auto" w:sz="8" w:space="0"/>
            </w:tcBorders>
            <w:tcW w:w="2026" w:type="dxa"/>
            <w:vAlign w:val="center"/>
            <w:textDirection w:val="lrTb"/>
            <w:noWrap w:val="false"/>
          </w:tcPr>
          <w:p>
            <w:pPr>
              <w:jc w:val="center"/>
              <w:spacing w:line="420" w:lineRule="auto"/>
              <w:tabs>
                <w:tab w:val="left" w:pos="1710" w:leader="none"/>
              </w:tabs>
              <w:rPr>
                <w:rFonts w:ascii="宋体" w:hAnsi="宋体" w:cs="宋体"/>
                <w:sz w:val="24"/>
                <w:szCs w:val="24"/>
              </w:rPr>
            </w:pPr>
            <w:r>
              <w:rPr>
                <w:rFonts w:hint="eastAsia" w:ascii="宋体" w:hAnsi="宋体" w:cs="宋体"/>
                <w:sz w:val="24"/>
                <w:szCs w:val="24"/>
                <w:lang w:val="en-US" w:eastAsia="zh-CN"/>
              </w:rPr>
              <w:t xml:space="preserve">最高限价</w:t>
            </w:r>
            <w:r>
              <w:rPr>
                <w:rFonts w:hint="eastAsia" w:ascii="宋体" w:hAnsi="宋体" w:cs="宋体"/>
                <w:sz w:val="24"/>
                <w:szCs w:val="24"/>
              </w:rPr>
              <w:t xml:space="preserve"> </w:t>
            </w:r>
            <w:r/>
          </w:p>
          <w:p>
            <w:pPr>
              <w:jc w:val="center"/>
              <w:spacing w:line="420" w:lineRule="auto"/>
              <w:tabs>
                <w:tab w:val="left" w:pos="1710" w:leader="none"/>
              </w:tabs>
              <w:rPr>
                <w:rFonts w:ascii="宋体" w:hAnsi="宋体" w:cs="宋体"/>
                <w:sz w:val="24"/>
                <w:szCs w:val="24"/>
              </w:rPr>
            </w:pPr>
            <w:r>
              <w:rPr>
                <w:rFonts w:hint="eastAsia" w:ascii="宋体" w:hAnsi="宋体" w:cs="宋体"/>
                <w:sz w:val="24"/>
                <w:szCs w:val="24"/>
              </w:rPr>
              <w:t xml:space="preserve">（万元）</w:t>
            </w:r>
            <w:r/>
          </w:p>
        </w:tc>
      </w:tr>
      <w:tr>
        <w:trPr>
          <w:jc w:val="center"/>
          <w:trHeight w:val="437"/>
        </w:trPr>
        <w:tc>
          <w:tcPr>
            <w:tcBorders>
              <w:top w:val="single" w:color="auto" w:sz="4" w:space="0"/>
              <w:left w:val="single" w:color="auto" w:sz="8" w:space="0"/>
              <w:bottom w:val="single" w:color="auto" w:sz="4" w:space="0"/>
              <w:right w:val="single" w:color="auto" w:sz="4" w:space="0"/>
            </w:tcBorders>
            <w:tcW w:w="1338" w:type="dxa"/>
            <w:vAlign w:val="center"/>
            <w:textDirection w:val="lrTb"/>
            <w:noWrap w:val="false"/>
          </w:tcPr>
          <w:p>
            <w:pPr>
              <w:jc w:val="center"/>
              <w:spacing w:line="420" w:lineRule="auto"/>
              <w:rPr>
                <w:rFonts w:ascii="宋体" w:hAnsi="宋体" w:cs="宋体"/>
                <w:sz w:val="24"/>
                <w:szCs w:val="24"/>
              </w:rPr>
            </w:pPr>
            <w:r>
              <w:rPr>
                <w:rFonts w:hint="eastAsia" w:ascii="宋体" w:hAnsi="宋体" w:cs="宋体"/>
                <w:sz w:val="24"/>
                <w:szCs w:val="24"/>
              </w:rPr>
              <w:t xml:space="preserve">包件1</w:t>
            </w:r>
            <w:r/>
          </w:p>
        </w:tc>
        <w:tc>
          <w:tcPr>
            <w:tcBorders>
              <w:top w:val="single" w:color="auto" w:sz="4" w:space="0"/>
              <w:left w:val="single" w:color="auto" w:sz="4" w:space="0"/>
              <w:bottom w:val="single" w:color="auto" w:sz="4" w:space="0"/>
              <w:right w:val="single" w:color="auto" w:sz="4" w:space="0"/>
            </w:tcBorders>
            <w:tcW w:w="4408" w:type="dxa"/>
            <w:vAlign w:val="center"/>
            <w:textDirection w:val="lrTb"/>
            <w:noWrap w:val="false"/>
          </w:tcPr>
          <w:p>
            <w:pPr>
              <w:jc w:val="center"/>
              <w:spacing w:line="420"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办公用品、家电家具、健身器材。</w:t>
            </w:r>
            <w:r/>
          </w:p>
        </w:tc>
        <w:tc>
          <w:tcPr>
            <w:tcBorders>
              <w:top w:val="single" w:color="auto" w:sz="4" w:space="0"/>
              <w:left w:val="single" w:color="auto" w:sz="4" w:space="0"/>
              <w:bottom w:val="single" w:color="auto" w:sz="4" w:space="0"/>
              <w:right w:val="single" w:color="auto" w:sz="8" w:space="0"/>
            </w:tcBorders>
            <w:tcW w:w="2026" w:type="dxa"/>
            <w:vAlign w:val="center"/>
            <w:textDirection w:val="lrTb"/>
            <w:noWrap w:val="false"/>
          </w:tcPr>
          <w:p>
            <w:pPr>
              <w:jc w:val="center"/>
              <w:spacing w:line="420"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280</w:t>
            </w:r>
            <w:r/>
          </w:p>
        </w:tc>
      </w:tr>
      <w:tr>
        <w:trPr>
          <w:jc w:val="center"/>
          <w:trHeight w:val="570"/>
        </w:trPr>
        <w:tc>
          <w:tcPr>
            <w:tcBorders>
              <w:top w:val="single" w:color="auto" w:sz="4" w:space="0"/>
              <w:left w:val="single" w:color="auto" w:sz="8" w:space="0"/>
              <w:bottom w:val="single" w:color="auto" w:sz="4" w:space="0"/>
              <w:right w:val="single" w:color="auto" w:sz="4" w:space="0"/>
            </w:tcBorders>
            <w:tcW w:w="1338" w:type="dxa"/>
            <w:vAlign w:val="center"/>
            <w:textDirection w:val="lrTb"/>
            <w:noWrap w:val="false"/>
          </w:tcPr>
          <w:p>
            <w:pPr>
              <w:jc w:val="center"/>
              <w:spacing w:line="420" w:lineRule="auto"/>
              <w:rPr>
                <w:rFonts w:ascii="宋体" w:hAnsi="宋体" w:cs="宋体"/>
                <w:sz w:val="24"/>
                <w:szCs w:val="24"/>
              </w:rPr>
            </w:pPr>
            <w:r>
              <w:rPr>
                <w:rFonts w:hint="eastAsia" w:ascii="宋体" w:hAnsi="宋体" w:cs="宋体"/>
                <w:sz w:val="24"/>
                <w:szCs w:val="24"/>
              </w:rPr>
              <w:t xml:space="preserve">包件2</w:t>
            </w:r>
            <w:r/>
          </w:p>
        </w:tc>
        <w:tc>
          <w:tcPr>
            <w:tcBorders>
              <w:top w:val="single" w:color="auto" w:sz="4" w:space="0"/>
              <w:left w:val="single" w:color="auto" w:sz="4" w:space="0"/>
              <w:bottom w:val="single" w:color="auto" w:sz="4" w:space="0"/>
              <w:right w:val="single" w:color="auto" w:sz="4" w:space="0"/>
            </w:tcBorders>
            <w:tcW w:w="4408" w:type="dxa"/>
            <w:vAlign w:val="center"/>
            <w:textDirection w:val="lrTb"/>
            <w:noWrap w:val="false"/>
          </w:tcPr>
          <w:p>
            <w:pPr>
              <w:jc w:val="center"/>
              <w:spacing w:line="420"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空调</w:t>
            </w:r>
            <w:r/>
          </w:p>
        </w:tc>
        <w:tc>
          <w:tcPr>
            <w:tcBorders>
              <w:top w:val="single" w:color="auto" w:sz="4" w:space="0"/>
              <w:left w:val="single" w:color="auto" w:sz="4" w:space="0"/>
              <w:bottom w:val="single" w:color="auto" w:sz="4" w:space="0"/>
              <w:right w:val="single" w:color="auto" w:sz="8" w:space="0"/>
            </w:tcBorders>
            <w:tcW w:w="2026" w:type="dxa"/>
            <w:vAlign w:val="center"/>
            <w:textDirection w:val="lrTb"/>
            <w:noWrap w:val="false"/>
          </w:tcPr>
          <w:p>
            <w:pPr>
              <w:jc w:val="center"/>
              <w:spacing w:line="420"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90</w:t>
            </w:r>
            <w:r/>
          </w:p>
        </w:tc>
      </w:tr>
    </w:tbl>
    <w:p>
      <w:pPr>
        <w:pStyle w:val="846"/>
        <w:ind w:firstLine="482"/>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cs="宋体"/>
          <w:b/>
          <w:bCs/>
          <w:sz w:val="24"/>
          <w:szCs w:val="24"/>
          <w:highlight w:val="none"/>
          <w:u w:val="single"/>
          <w:lang w:val="en-US" w:eastAsia="zh-CN"/>
        </w:rPr>
        <w:t xml:space="preserve">投标人可以投其中一个或两个包件，皆可中标。</w:t>
      </w:r>
      <w:r>
        <w:rPr>
          <w:rFonts w:hint="eastAsia" w:ascii="宋体" w:hAnsi="宋体" w:cs="宋体"/>
          <w:b/>
          <w:bCs/>
          <w:sz w:val="24"/>
          <w:szCs w:val="24"/>
          <w:highlight w:val="none"/>
          <w:u w:val="single"/>
        </w:rPr>
        <w:t xml:space="preserve">本项目的开标、评标、定标顺序均按包件一 →包件二进行</w:t>
      </w:r>
      <w:r>
        <w:rPr>
          <w:rFonts w:hint="eastAsia" w:ascii="宋体" w:hAnsi="宋体" w:cs="宋体"/>
          <w:b/>
          <w:bCs/>
          <w:sz w:val="24"/>
          <w:szCs w:val="24"/>
          <w:highlight w:val="none"/>
          <w:u w:val="single"/>
          <w:lang w:eastAsia="zh-CN"/>
        </w:rPr>
        <w:t xml:space="preserve">。</w:t>
      </w:r>
      <w:r>
        <w:rPr>
          <w:rFonts w:hint="eastAsia" w:ascii="宋体" w:hAnsi="宋体" w:cs="宋体"/>
          <w:sz w:val="24"/>
          <w:szCs w:val="24"/>
          <w:highlight w:val="none"/>
          <w:u w:val="single"/>
        </w:rPr>
        <w:t xml:space="preserve"> </w:t>
      </w:r>
      <w:r/>
    </w:p>
    <w:p>
      <w:pPr>
        <w:pStyle w:val="846"/>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w:t>
      </w:r>
      <w:r>
        <w:rPr>
          <w:rFonts w:hint="eastAsia" w:ascii="宋体" w:hAnsi="宋体" w:eastAsia="宋体" w:cs="宋体"/>
          <w:color w:val="000000"/>
          <w:sz w:val="24"/>
          <w:szCs w:val="24"/>
          <w:highlight w:val="none"/>
          <w:shd w:val="clear" w:color="auto" w:fill="auto"/>
          <w:lang w:eastAsia="zh-CN"/>
        </w:rPr>
        <w:t xml:space="preserve">：滨海县民兵训练基地物资采购项目，</w:t>
      </w:r>
      <w:r>
        <w:rPr>
          <w:rFonts w:hint="eastAsia" w:ascii="宋体" w:hAnsi="宋体" w:eastAsia="宋体" w:cs="宋体"/>
          <w:color w:val="000000"/>
          <w:sz w:val="24"/>
          <w:szCs w:val="24"/>
          <w:highlight w:val="none"/>
          <w:shd w:val="clear" w:color="auto" w:fill="auto"/>
        </w:rPr>
        <w:t xml:space="preserve">包括货物（含相关附配件）的采购、包装、运输、安装、调试、培训、验收、</w:t>
      </w:r>
      <w:r>
        <w:rPr>
          <w:rFonts w:hint="eastAsia" w:ascii="宋体" w:hAnsi="宋体" w:eastAsia="宋体" w:cs="宋体"/>
          <w:color w:val="000000"/>
          <w:sz w:val="24"/>
          <w:szCs w:val="24"/>
          <w:highlight w:val="none"/>
          <w:shd w:val="clear" w:color="auto" w:fill="auto"/>
          <w:lang w:val="en-US" w:eastAsia="zh-CN"/>
        </w:rPr>
        <w:t xml:space="preserve">三</w:t>
      </w:r>
      <w:r>
        <w:rPr>
          <w:rFonts w:hint="eastAsia" w:ascii="宋体" w:hAnsi="宋体" w:eastAsia="宋体" w:cs="宋体"/>
          <w:color w:val="000000"/>
          <w:sz w:val="24"/>
          <w:szCs w:val="24"/>
          <w:highlight w:val="none"/>
          <w:shd w:val="clear" w:color="auto" w:fill="auto"/>
        </w:rPr>
        <w:t xml:space="preserve">年质量保修期内维保、售前、售后等相关伴随服务。</w:t>
      </w:r>
      <w:r>
        <w:rPr>
          <w:rFonts w:hint="eastAsia" w:ascii="宋体" w:hAnsi="宋体" w:eastAsia="宋体" w:cs="宋体"/>
          <w:color w:val="000000"/>
          <w:sz w:val="24"/>
          <w:szCs w:val="24"/>
          <w:highlight w:val="none"/>
          <w:shd w:val="clear" w:color="auto" w:fill="auto"/>
          <w:lang w:eastAsia="zh-CN"/>
        </w:rPr>
        <w:t xml:space="preserve">详细内容见本招标文件第四章。</w:t>
      </w:r>
      <w:r/>
    </w:p>
    <w:p>
      <w:pPr>
        <w:pStyle w:val="846"/>
        <w:ind w:firstLine="480"/>
        <w:jc w:val="both"/>
        <w:pageBreakBefore w:val="0"/>
        <w:spacing w:beforeAutospacing="0" w:afterAutospacing="0" w:line="360" w:lineRule="auto"/>
        <w:rPr>
          <w:rFonts w:hint="eastAsia" w:ascii="宋体" w:hAnsi="宋体" w:eastAsia="宋体" w:cs="宋体"/>
          <w:i w:val="0"/>
          <w:iCs w:val="0"/>
          <w:color w:val="000000"/>
          <w:sz w:val="24"/>
          <w:szCs w:val="24"/>
          <w:highlight w:val="yellow"/>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cs="宋体"/>
          <w:sz w:val="24"/>
          <w:szCs w:val="24"/>
          <w:highlight w:val="none"/>
        </w:rPr>
        <w:t xml:space="preserve">供货期限（含安装调试工期）：</w:t>
      </w:r>
      <w:r>
        <w:rPr>
          <w:rFonts w:hint="eastAsia" w:ascii="宋体" w:hAnsi="宋体" w:eastAsia="宋体" w:cs="宋体"/>
          <w:b/>
          <w:i w:val="0"/>
          <w:iCs w:val="0"/>
          <w:color w:val="000000"/>
          <w:sz w:val="24"/>
          <w:szCs w:val="24"/>
          <w:highlight w:val="none"/>
          <w:u w:val="single"/>
          <w:lang w:val="en-US" w:eastAsia="zh-CN"/>
        </w:rPr>
        <w:t xml:space="preserve">60</w:t>
      </w:r>
      <w:r>
        <w:rPr>
          <w:rFonts w:hint="eastAsia" w:ascii="宋体" w:hAnsi="宋体" w:cs="宋体"/>
          <w:sz w:val="24"/>
          <w:szCs w:val="24"/>
          <w:highlight w:val="none"/>
        </w:rPr>
        <w:t xml:space="preserve">日历天</w:t>
      </w:r>
      <w:r>
        <w:rPr>
          <w:rFonts w:hint="eastAsia" w:ascii="宋体" w:hAnsi="宋体" w:eastAsia="宋体" w:cs="宋体"/>
          <w:i w:val="0"/>
          <w:iCs w:val="0"/>
          <w:color w:val="000000"/>
          <w:sz w:val="24"/>
          <w:szCs w:val="24"/>
          <w:highlight w:val="none"/>
        </w:rPr>
        <w:t xml:space="preserve">；质量保修期</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u w:val="single"/>
          <w:lang w:val="en-US" w:eastAsia="zh-CN"/>
        </w:rPr>
        <w:t xml:space="preserve">三</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年。</w:t>
      </w:r>
      <w:r/>
    </w:p>
    <w:p>
      <w:pPr>
        <w:pStyle w:val="846"/>
        <w:ind w:firstLine="480"/>
        <w:jc w:val="both"/>
        <w:pageBreakBefore w:val="0"/>
        <w:spacing w:beforeAutospacing="0" w:afterAutospacing="0" w:line="360" w:lineRule="auto"/>
        <w:rPr>
          <w:rFonts w:hint="default"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cs="宋体"/>
          <w:sz w:val="24"/>
          <w:szCs w:val="24"/>
        </w:rPr>
        <w:t xml:space="preserve">质量标准：合格  </w:t>
      </w:r>
      <w:r/>
    </w:p>
    <w:p>
      <w:pPr>
        <w:ind w:firstLine="480"/>
        <w:pageBreakBefore w:val="0"/>
        <w:spacing w:line="360" w:lineRule="auto"/>
        <w:rPr>
          <w:rFonts w:hint="eastAsia" w:ascii="宋体" w:hAnsi="宋体" w:cs="宋体" w:eastAsiaTheme="minorEastAsia"/>
          <w:sz w:val="24"/>
          <w:szCs w:val="24"/>
          <w:highlight w:val="none"/>
          <w:lang w:val="en-US" w:eastAsia="zh-CN" w:bidi="ar-SA"/>
        </w:rPr>
      </w:pPr>
      <w:r/>
      <w:bookmarkStart w:id="13" w:name="_Toc38985264"/>
      <w:r/>
      <w:bookmarkStart w:id="14" w:name="_Toc35393622"/>
      <w:r/>
      <w:bookmarkStart w:id="15" w:name="_Toc35393791"/>
      <w:r/>
      <w:bookmarkStart w:id="16" w:name="_Toc28359003"/>
      <w:r/>
      <w:bookmarkStart w:id="17" w:name="_Toc28359080"/>
      <w:r>
        <w:rPr>
          <w:rFonts w:hint="eastAsia" w:ascii="宋体" w:hAnsi="宋体" w:cs="宋体" w:eastAsiaTheme="minorEastAsia"/>
          <w:sz w:val="24"/>
          <w:szCs w:val="24"/>
          <w:highlight w:val="none"/>
          <w:lang w:val="en-US" w:eastAsia="zh-CN" w:bidi="ar-SA"/>
        </w:rPr>
        <w:t xml:space="preserve">9.项目地点(交货地点)：滨海县民兵训练基地。</w:t>
      </w:r>
      <w:r/>
    </w:p>
    <w:p>
      <w:pPr>
        <w:pStyle w:val="846"/>
        <w:ind w:firstLine="482"/>
        <w:jc w:val="both"/>
        <w:keepLines w:val="0"/>
        <w:keepNext w:val="0"/>
        <w:pageBreakBefore w:val="0"/>
        <w:spacing w:beforeAutospacing="0" w:afterAutospacing="0" w:line="360" w:lineRule="auto"/>
        <w:widowControl w:val="off"/>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10.本项目不接受联合体参与</w:t>
      </w:r>
      <w:r>
        <w:rPr>
          <w:rFonts w:hint="eastAsia" w:ascii="宋体" w:hAnsi="宋体" w:cs="宋体"/>
          <w:sz w:val="24"/>
          <w:szCs w:val="24"/>
          <w:highlight w:val="none"/>
          <w:lang w:val="en-US" w:eastAsia="zh-CN" w:bidi="ar-SA"/>
        </w:rPr>
        <w:t xml:space="preserve">投</w:t>
      </w:r>
      <w:r>
        <w:rPr>
          <w:rFonts w:hint="eastAsia" w:ascii="宋体" w:hAnsi="宋体" w:cs="宋体" w:eastAsiaTheme="minorEastAsia"/>
          <w:sz w:val="24"/>
          <w:szCs w:val="24"/>
          <w:highlight w:val="none"/>
          <w:lang w:val="en-US" w:eastAsia="zh-CN" w:bidi="ar-SA"/>
        </w:rPr>
        <w:t xml:space="preserve">标。</w:t>
      </w:r>
      <w:r/>
    </w:p>
    <w:p>
      <w:pPr>
        <w:pStyle w:val="846"/>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
    </w:p>
    <w:p>
      <w:pPr>
        <w:pStyle w:val="846"/>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46"/>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846"/>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（至少提供资产负债表、利润表、现金流量表，成立不满一年无需提供）；</w:t>
      </w:r>
      <w:r/>
    </w:p>
    <w:p>
      <w:pPr>
        <w:pStyle w:val="846"/>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46"/>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46"/>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846"/>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46"/>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46"/>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p>
    <w:p>
      <w:pPr>
        <w:pStyle w:val="846"/>
        <w:ind w:firstLine="480"/>
        <w:jc w:val="both"/>
        <w:pageBreakBefore w:val="0"/>
        <w:spacing w:beforeAutospacing="0" w:afterAutospacing="0" w:line="360" w:lineRule="auto"/>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落实政府采购政策需满足的资格要求：无</w:t>
      </w:r>
      <w:r>
        <w:rPr>
          <w:rFonts w:hint="eastAsia" w:ascii="宋体" w:hAnsi="宋体" w:eastAsia="宋体" w:cs="宋体"/>
          <w:color w:val="000000"/>
          <w:sz w:val="24"/>
          <w:szCs w:val="24"/>
          <w:highlight w:val="none"/>
          <w:shd w:val="clear" w:color="auto" w:fill="auto"/>
          <w:lang w:eastAsia="zh-CN"/>
        </w:rPr>
        <w:t xml:space="preserve">。</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：本项目不接受联合体参与投标。</w:t>
      </w:r>
      <w:r/>
    </w:p>
    <w:p>
      <w:pPr>
        <w:pStyle w:val="846"/>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28359082"/>
      <w:r/>
      <w:bookmarkStart w:id="19" w:name="_Toc38985266"/>
      <w:r/>
      <w:bookmarkStart w:id="20" w:name="_Toc35393624"/>
      <w:r/>
      <w:bookmarkStart w:id="21" w:name="_Toc28359005"/>
      <w:r/>
      <w:bookmarkStart w:id="22" w:name="_Toc35393793"/>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p>
    <w:p>
      <w:pPr>
        <w:ind w:firstLine="480"/>
        <w:jc w:val="left"/>
        <w:pageBreakBefore w:val="0"/>
        <w:spacing w:line="360" w:lineRule="auto"/>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846"/>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2025</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12</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5日9时00分00秒。</w:t>
      </w:r>
      <w:r/>
    </w:p>
    <w:p>
      <w:pPr>
        <w:pStyle w:val="846"/>
        <w:ind w:firstLine="480"/>
        <w:jc w:val="both"/>
        <w:pageBreakBefore w:val="0"/>
        <w:spacing w:beforeAutospacing="0" w:afterAutospacing="0" w:line="360" w:lineRule="auto"/>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846"/>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bookmarkStart w:id="23" w:name="_Toc28359084"/>
      <w:r/>
      <w:bookmarkStart w:id="24" w:name="_Toc38985267"/>
      <w:r/>
      <w:bookmarkStart w:id="25" w:name="_Toc35393794"/>
      <w:r/>
      <w:bookmarkStart w:id="26" w:name="_Toc35393625"/>
      <w:r/>
      <w:bookmarkStart w:id="27" w:name="_Toc28359007"/>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
    </w:p>
    <w:p>
      <w:pPr>
        <w:pStyle w:val="846"/>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795"/>
      <w:r/>
      <w:bookmarkStart w:id="29" w:name="_Toc38985268"/>
      <w:r/>
      <w:bookmarkStart w:id="30" w:name="_Toc3539362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846"/>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color w:val="00000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2.潜在供应商访问电子招标响应交易平台的网络地址和方法：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2.2潜在投标人访问“苏采云”系统方法：江苏省政府采购网首页-“苏采云”链接。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2.3采购文件（后缀名为“.kedt”）、供应商操作手册及政府采购客户端工具可通过“苏采云”系统相应链接进行下载。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2.4采购代理机构将数据电文形式的采购文件加载至“苏采云”系统，供潜在供应商下载或者查阅。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2.5请潜在投标单位提前安装相应的控件（详见《“苏采云”系统供应商操作手册》）并使用谷歌浏览器登录“苏采云”系统参与不见面开评标。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如潜在投标人未按上述要求操作，将自行承担所产生的风险。</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3.有关本次招标的事项若存在变动或修改，敬请及时关注盐城市政府采购中心在“中国政府采购网”“江苏政府采购网”“盐城市政府采购网”发布的更正公告。</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4.本次招标不收取投标保证金，不收取质量保证金。</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七、对本次招标提出询问，请按以下方式联系。</w:t>
      </w:r>
      <w:bookmarkEnd w:id="31"/>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1.采购人信息</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名 称：滨海县退役军人事务局</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地址：滨海县东坎街道中市路23号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联系人：王女士 、朱先生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联系方式：15161910112、13505102408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2.采购代理机构信息</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名 称：滨海县公共资源交易中心（滨海县政府采购中心）</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地 址：滨海县育才路166号滨海县政务服务中心三楼</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联系人：王女士、何先生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联系方式：</w:t>
      </w:r>
      <w:bookmarkStart w:id="32" w:name="_Toc28359010"/>
      <w:r/>
      <w:bookmarkStart w:id="33" w:name="_Toc28359087"/>
      <w:r>
        <w:rPr>
          <w:rFonts w:hint="eastAsia" w:ascii="宋体" w:hAnsi="宋体" w:eastAsia="宋体" w:cs="宋体"/>
          <w:color w:val="000000"/>
          <w:sz w:val="24"/>
          <w:szCs w:val="24"/>
          <w:highlight w:val="none"/>
          <w:shd w:val="clear" w:color="auto" w:fill="auto"/>
          <w:lang w:val="en-US" w:eastAsia="zh-CN"/>
        </w:rPr>
        <w:t xml:space="preserve">13914632376、17802663818       </w:t>
      </w:r>
      <w:bookmarkEnd w:id="32"/>
      <w:r/>
      <w:bookmarkEnd w:id="33"/>
      <w:r>
        <w:rPr>
          <w:rFonts w:hint="eastAsia" w:ascii="宋体" w:hAnsi="宋体" w:eastAsia="宋体" w:cs="宋体"/>
          <w:color w:val="000000"/>
          <w:sz w:val="24"/>
          <w:szCs w:val="24"/>
          <w:highlight w:val="none"/>
          <w:shd w:val="clear" w:color="auto" w:fill="auto"/>
          <w:lang w:val="en-US" w:eastAsia="zh-CN"/>
        </w:rPr>
        <w:t xml:space="preserve">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color w:val="000000"/>
          <w:sz w:val="24"/>
          <w:szCs w:val="24"/>
          <w:highlight w:val="none"/>
          <w:shd w:val="clear" w:color="auto" w:fill="auto"/>
          <w:lang w:val="en-US" w:eastAsia="zh-CN"/>
        </w:rPr>
        <w:t xml:space="preserve">3.</w:t>
      </w:r>
      <w:bookmarkEnd w:id="34"/>
      <w:r>
        <w:rPr>
          <w:rFonts w:hint="eastAsia" w:ascii="宋体" w:hAnsi="宋体" w:eastAsia="宋体" w:cs="宋体"/>
          <w:color w:val="000000"/>
          <w:sz w:val="24"/>
          <w:szCs w:val="24"/>
          <w:highlight w:val="none"/>
          <w:shd w:val="clear" w:color="auto" w:fill="auto"/>
          <w:lang w:val="en-US" w:eastAsia="zh-CN"/>
        </w:rPr>
        <w:t xml:space="preserve">项目联系方式</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项目联系人：王女士、朱先生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电　　 话：15161910112、13505102408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                                                 </w:t>
      </w:r>
      <w:r/>
    </w:p>
    <w:p>
      <w:pPr>
        <w:pStyle w:val="8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br w:type="page" w:clear="all"/>
      </w:r>
      <w:bookmarkStart w:id="35" w:name="_Toc120614211"/>
      <w:r/>
      <w:r/>
    </w:p>
    <w:p>
      <w:pPr>
        <w:pStyle w:val="846"/>
        <w:ind w:firstLine="2429"/>
        <w:jc w:val="both"/>
        <w:keepLines/>
        <w:keepNext/>
        <w:spacing w:before="260" w:beforeAutospacing="0" w:after="260" w:afterAutospacing="0" w:line="415" w:lineRule="auto"/>
        <w:rPr>
          <w:highlight w:val="none"/>
        </w:rPr>
      </w:pPr>
      <w:r>
        <w:rPr>
          <w:rFonts w:hint="eastAsia" w:ascii="黑体" w:hAnsi="宋体" w:eastAsia="黑体" w:cs="黑体"/>
          <w:b/>
          <w:color w:val="000000"/>
          <w:sz w:val="44"/>
          <w:szCs w:val="44"/>
          <w:highlight w:val="none"/>
        </w:rPr>
        <w:t xml:space="preserve">第二章  </w:t>
      </w:r>
      <w:bookmarkEnd w:id="35"/>
      <w:r/>
      <w:bookmarkStart w:id="36" w:name="_Toc20823274"/>
      <w:r/>
      <w:bookmarkStart w:id="37" w:name="_Toc16938518"/>
      <w:r/>
      <w:bookmarkStart w:id="38" w:name="_Toc120614213"/>
      <w:r/>
      <w:bookmarkStart w:id="39" w:name="_Toc513029202"/>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846"/>
        <w:ind w:firstLine="498"/>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40" w:name="_Toc16938519"/>
      <w:r/>
      <w:bookmarkStart w:id="41" w:name="_Toc20823275"/>
      <w:r/>
      <w:bookmarkStart w:id="42" w:name="_Toc120614214"/>
      <w:r/>
      <w:bookmarkStart w:id="43" w:name="_Toc513029203"/>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4" w:name="_Toc20823276"/>
      <w:r/>
      <w:bookmarkStart w:id="45" w:name="_Toc16938520"/>
      <w:r/>
      <w:bookmarkStart w:id="46" w:name="_Toc458694821"/>
      <w:r/>
      <w:bookmarkStart w:id="47" w:name="_Toc513029204"/>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招标方式</w:t>
      </w:r>
      <w:bookmarkEnd w:id="45"/>
      <w:r/>
      <w:bookmarkEnd w:id="46"/>
      <w:r/>
      <w:bookmarkEnd w:id="47"/>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9" w:name="_Toc20823277"/>
      <w:r/>
      <w:bookmarkStart w:id="50" w:name="_Toc16938521"/>
      <w:r/>
      <w:bookmarkStart w:id="51" w:name="_Toc513029205"/>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合格的投标人</w:t>
      </w:r>
      <w:bookmarkEnd w:id="49"/>
      <w:r/>
      <w:bookmarkEnd w:id="50"/>
      <w:r/>
      <w:bookmarkEnd w:id="51"/>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2" w:name="_Toc513029206"/>
      <w:r/>
      <w:bookmarkStart w:id="53" w:name="_Toc20823278"/>
      <w:r/>
      <w:bookmarkStart w:id="54" w:name="_Toc16938522"/>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适用法律</w:t>
      </w:r>
      <w:bookmarkEnd w:id="52"/>
      <w:r/>
      <w:bookmarkEnd w:id="53"/>
      <w:r/>
      <w:bookmarkEnd w:id="54"/>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5" w:name="_Toc462564067"/>
      <w:r/>
      <w:bookmarkStart w:id="56" w:name="_Toc513029207"/>
      <w:r/>
      <w:bookmarkStart w:id="57" w:name="_Toc16938523"/>
      <w:r/>
      <w:bookmarkStart w:id="58" w:name="_Toc20823279"/>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投标费用</w:t>
      </w:r>
      <w:bookmarkEnd w:id="55"/>
      <w:r/>
      <w:bookmarkEnd w:id="56"/>
      <w:r/>
      <w:bookmarkEnd w:id="57"/>
      <w:r/>
      <w:bookmarkEnd w:id="58"/>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highlight w:val="none"/>
        </w:rPr>
        <w:t xml:space="preserve">滨海县公共资源交易中心</w:t>
      </w:r>
      <w:r>
        <w:rPr>
          <w:rFonts w:hint="eastAsia" w:ascii="宋体" w:hAnsi="宋体" w:eastAsia="宋体" w:cs="宋体"/>
          <w:color w:val="000000"/>
          <w:highlight w:val="none"/>
          <w:lang w:eastAsia="zh-CN"/>
        </w:rPr>
        <w:t xml:space="preserve">（</w:t>
      </w:r>
      <w:r>
        <w:rPr>
          <w:rFonts w:hint="eastAsia" w:ascii="宋体" w:hAnsi="宋体" w:eastAsia="宋体" w:cs="宋体"/>
          <w:sz w:val="24"/>
        </w:rPr>
        <w:t xml:space="preserve">滨海县政府采购中心</w:t>
      </w:r>
      <w:r>
        <w:rPr>
          <w:rFonts w:hint="eastAsia" w:ascii="宋体" w:hAnsi="宋体" w:eastAsia="宋体" w:cs="宋体"/>
          <w:color w:val="000000"/>
          <w:highlight w:val="none"/>
          <w:lang w:eastAsia="zh-CN"/>
        </w:rPr>
        <w:t xml:space="preserve">）</w:t>
      </w:r>
      <w:r>
        <w:rPr>
          <w:rFonts w:hint="eastAsia" w:ascii="宋体" w:hAnsi="宋体" w:eastAsia="宋体" w:cs="宋体"/>
          <w:color w:val="000000"/>
          <w:sz w:val="24"/>
          <w:szCs w:val="24"/>
          <w:highlight w:val="none"/>
        </w:rPr>
        <w:t xml:space="preserve">（以下简称采购中心）在任何情况下均无义务和责任承担这些费用。</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4.2本次招标采购中心和采购人不收取标书工本费与中标服务费。</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招标文件的约束力</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846"/>
        <w:ind w:firstLine="321"/>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59" w:name="_Toc16938525"/>
      <w:r/>
      <w:bookmarkStart w:id="60" w:name="_Toc120614215"/>
      <w:r/>
      <w:bookmarkStart w:id="61" w:name="_Toc20823281"/>
      <w:r/>
      <w:bookmarkStart w:id="62" w:name="_Toc513029209"/>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3" w:name="_Toc20823282"/>
      <w:r/>
      <w:bookmarkStart w:id="64" w:name="_Toc16938526"/>
      <w:r/>
      <w:bookmarkStart w:id="65" w:name="_Toc513029210"/>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招标文件构成</w:t>
      </w:r>
      <w:bookmarkEnd w:id="63"/>
      <w:r/>
      <w:bookmarkEnd w:id="64"/>
      <w:r/>
      <w:bookmarkEnd w:id="65"/>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46"/>
        <w:ind w:firstLine="36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46"/>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46"/>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46"/>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46"/>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46"/>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请仔细检查招标文件是否齐全，如有缺漏请立即与采购中心联系解决。</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6" w:name="_Toc513029211"/>
      <w:r/>
      <w:bookmarkStart w:id="67" w:name="_Toc16938527"/>
      <w:r/>
      <w:bookmarkStart w:id="68" w:name="_Toc462564070"/>
      <w:r/>
      <w:bookmarkStart w:id="69" w:name="_Toc20823283"/>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招标文件的澄清</w:t>
      </w:r>
      <w:bookmarkEnd w:id="66"/>
      <w:r/>
      <w:bookmarkEnd w:id="67"/>
      <w:r/>
      <w:bookmarkEnd w:id="68"/>
      <w:r/>
      <w:bookmarkEnd w:id="69"/>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前按招标公告中的通讯地址，以书面形式通知采购中心。</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0" w:name="_Toc20823284"/>
      <w:r/>
      <w:bookmarkStart w:id="71" w:name="_Toc513029212"/>
      <w:r/>
      <w:bookmarkStart w:id="72" w:name="_Toc462564071"/>
      <w:r/>
      <w:bookmarkStart w:id="73" w:name="_Toc16938528"/>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招标文件的修改</w:t>
      </w:r>
      <w:bookmarkEnd w:id="70"/>
      <w:r/>
      <w:bookmarkEnd w:id="71"/>
      <w:r/>
      <w:bookmarkEnd w:id="72"/>
      <w:r/>
      <w:bookmarkEnd w:id="73"/>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在投标截止时间前，采购中心可以对招标文件进行修改。</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采购中心有权按照法定的要求推迟投标截止日期和开标日期。</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846"/>
        <w:ind w:firstLine="48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74" w:name="_Toc120614216"/>
      <w:r/>
      <w:bookmarkStart w:id="75" w:name="_Toc513029213"/>
      <w:r/>
      <w:bookmarkStart w:id="76" w:name="_Toc16938529"/>
      <w:r/>
      <w:bookmarkStart w:id="77" w:name="_Toc20823285"/>
      <w:r/>
      <w:bookmarkStart w:id="78" w:name="_Toc462564072"/>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9" w:name="_Toc462564073"/>
      <w:r/>
      <w:bookmarkStart w:id="80" w:name="_Toc16938530"/>
      <w:r/>
      <w:bookmarkStart w:id="81" w:name="_Toc513029214"/>
      <w:r/>
      <w:bookmarkStart w:id="82" w:name="_Toc20823286"/>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投标文件的语言及度量衡单位</w:t>
      </w:r>
      <w:bookmarkEnd w:id="79"/>
      <w:r/>
      <w:bookmarkEnd w:id="80"/>
      <w:r/>
      <w:bookmarkEnd w:id="81"/>
      <w:r/>
      <w:bookmarkEnd w:id="82"/>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投标人提交的投标文件以及投标人与采购中心就有关投标的所有来往通知、函件和文件均应使用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3" w:name="_Toc16938531"/>
      <w:r/>
      <w:bookmarkStart w:id="84" w:name="_Toc513029215"/>
      <w:r/>
      <w:bookmarkStart w:id="85" w:name="_Toc20823287"/>
      <w:r/>
      <w:bookmarkStart w:id="86" w:name="_Toc462564074"/>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投标文件构成</w:t>
      </w:r>
      <w:bookmarkEnd w:id="83"/>
      <w:r/>
      <w:bookmarkEnd w:id="84"/>
      <w:r/>
      <w:bookmarkEnd w:id="85"/>
      <w:r/>
      <w:bookmarkEnd w:id="86"/>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7" w:name="_Toc14577355"/>
      <w:r/>
      <w:bookmarkStart w:id="88" w:name="_Toc49090507"/>
      <w:r/>
      <w:bookmarkStart w:id="89" w:name="_Toc513029219"/>
      <w:r/>
      <w:bookmarkStart w:id="90" w:name="_Toc49090508"/>
      <w:r/>
      <w:bookmarkStart w:id="91" w:name="_Toc49090509"/>
      <w:r/>
      <w:bookmarkStart w:id="92" w:name="_Toc14577354"/>
      <w:r/>
      <w:bookmarkStart w:id="93" w:name="_Toc14577357"/>
      <w:r/>
      <w:bookmarkStart w:id="94" w:name="_Toc513029216"/>
      <w:r/>
      <w:bookmarkStart w:id="95" w:name="_Hlt26954838"/>
      <w:r/>
      <w:bookmarkStart w:id="96" w:name="_Hlt26670360"/>
      <w:r/>
      <w:bookmarkStart w:id="97" w:name="_Hlt26668975"/>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证明投标人及投标标的符合招标文件规定的文件</w:t>
      </w:r>
      <w:bookmarkEnd w:id="87"/>
      <w:r/>
      <w:bookmarkEnd w:id="88"/>
      <w:r/>
      <w:bookmarkEnd w:id="89"/>
      <w:r/>
      <w:bookmarkEnd w:id="90"/>
      <w:r/>
      <w:bookmarkEnd w:id="91"/>
      <w:r/>
      <w:bookmarkEnd w:id="92"/>
      <w:r/>
      <w:bookmarkEnd w:id="93"/>
      <w:r/>
      <w:bookmarkEnd w:id="94"/>
      <w:r/>
      <w:r/>
    </w:p>
    <w:p>
      <w:pPr>
        <w:pStyle w:val="846"/>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11.1 投标人应按照招标文件要求提交证明文件，证明其及投标标的符合招标文件规定。</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投标分项报价表</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98" w:name="_Hlt26954846"/>
      <w:r/>
      <w:bookmarkStart w:id="99" w:name="_Hlt26670486"/>
      <w:r/>
      <w:bookmarkStart w:id="100" w:name="_Hlt26670482"/>
      <w:r/>
      <w:bookmarkStart w:id="101" w:name="_Hlt26954731"/>
      <w:r/>
      <w:bookmarkStart w:id="102" w:name="_Hlt26954848"/>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技术要求响应及偏离表、商务要求响应及偏离表</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3" w:name="_Toc49090510"/>
      <w:r/>
      <w:bookmarkStart w:id="104" w:name="_Toc14577359"/>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投标函和开标一览表</w:t>
      </w:r>
      <w:bookmarkEnd w:id="103"/>
      <w:r/>
      <w:bookmarkEnd w:id="104"/>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投标人应按照招标文件中提供的格式完整、正确填写投标函、开标一览表。</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对于采用货币报价的项目，开标一览表中的投标总报价应与投标分项报价表中的投标总报价一致，如不一致，不作为无效投标处理，但评标时按开标一览表中价格为准。</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5" w:name="_Toc49090511"/>
      <w:r/>
      <w:bookmarkStart w:id="106" w:name="_Toc14577360"/>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投标有效期</w:t>
      </w:r>
      <w:bookmarkEnd w:id="105"/>
      <w:r/>
      <w:bookmarkEnd w:id="106"/>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投标有效期的延长</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846"/>
        <w:ind w:firstLine="48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107" w:name="_Toc16938540"/>
      <w:r/>
      <w:bookmarkStart w:id="108" w:name="_Toc120614217"/>
      <w:r/>
      <w:bookmarkStart w:id="109" w:name="_Toc20823296"/>
      <w:r/>
      <w:bookmarkStart w:id="110" w:name="_Toc513029224"/>
      <w:r/>
      <w:bookmarkStart w:id="111" w:name="_Hlt26954852"/>
      <w:r/>
      <w:bookmarkStart w:id="112" w:name="_Hlt26954739"/>
      <w:r>
        <w:rPr>
          <w:rFonts w:hint="eastAsia" w:ascii="宋体" w:hAnsi="宋体" w:eastAsia="宋体" w:cs="宋体"/>
          <w:b/>
          <w:color w:val="000000"/>
          <w:sz w:val="24"/>
          <w:szCs w:val="24"/>
          <w:highlight w:val="none"/>
        </w:rPr>
        <w:t xml:space="preserve">四、投标文件的递交</w:t>
      </w:r>
      <w:bookmarkEnd w:id="107"/>
      <w:r/>
      <w:bookmarkEnd w:id="108"/>
      <w:r/>
      <w:bookmarkEnd w:id="109"/>
      <w:r/>
      <w:bookmarkEnd w:id="110"/>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3" w:name="_Toc20823297"/>
      <w:r/>
      <w:bookmarkStart w:id="114" w:name="_Toc462564084"/>
      <w:r/>
      <w:bookmarkStart w:id="115" w:name="_Toc16938541"/>
      <w:r/>
      <w:bookmarkStart w:id="116" w:name="_Toc513029225"/>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电子投标文件</w:t>
      </w:r>
      <w:bookmarkEnd w:id="113"/>
      <w:r/>
      <w:bookmarkEnd w:id="114"/>
      <w:r/>
      <w:bookmarkEnd w:id="115"/>
      <w:r/>
      <w:bookmarkEnd w:id="116"/>
      <w:r>
        <w:rPr>
          <w:rFonts w:hint="eastAsia" w:ascii="宋体" w:hAnsi="宋体" w:eastAsia="宋体" w:cs="宋体"/>
          <w:color w:val="000000"/>
          <w:sz w:val="24"/>
          <w:szCs w:val="24"/>
          <w:highlight w:val="none"/>
        </w:rPr>
        <w:t xml:space="preserve">的递交</w:t>
      </w:r>
      <w:r/>
    </w:p>
    <w:p>
      <w:pPr>
        <w:pStyle w:val="846"/>
        <w:ind w:left="525"/>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.1投标人应当按照《操作手册》规定，在投标截止时间前制作并上传电</w:t>
      </w:r>
      <w:r/>
    </w:p>
    <w:p>
      <w:pPr>
        <w:pStyle w:val="846"/>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子投标文件。</w:t>
      </w:r>
      <w:bookmarkStart w:id="117" w:name="_Toc20823298"/>
      <w:r/>
      <w:bookmarkEnd w:id="117"/>
      <w:r/>
      <w:bookmarkStart w:id="118" w:name="_Toc16938542"/>
      <w:r/>
      <w:bookmarkEnd w:id="118"/>
      <w:r/>
      <w:bookmarkStart w:id="119" w:name="_Toc513029226"/>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投标截止日期</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w:t>
      </w:r>
      <w:r>
        <w:rPr>
          <w:rFonts w:hint="eastAsia" w:ascii="宋体" w:hAnsi="宋体" w:eastAsia="宋体" w:cs="宋体"/>
          <w:i/>
          <w:color w:val="000000"/>
          <w:sz w:val="24"/>
          <w:szCs w:val="24"/>
          <w:highlight w:val="none"/>
          <w:u w:val="single"/>
          <w:lang w:val="en-US" w:eastAsia="zh-CN"/>
        </w:rPr>
        <w:t xml:space="preserve">8</w:t>
      </w:r>
      <w:r>
        <w:rPr>
          <w:rFonts w:hint="eastAsia" w:ascii="宋体" w:hAnsi="宋体" w:eastAsia="宋体" w:cs="宋体"/>
          <w:i/>
          <w:color w:val="000000"/>
          <w:sz w:val="24"/>
          <w:szCs w:val="24"/>
          <w:highlight w:val="none"/>
          <w:u w:val="single"/>
        </w:rPr>
        <w:t xml:space="preserve">.1 投标人上传电子投标文件的时间不得迟于招标公告中规定的投标截止时间。</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 采购中心可以按照规定，通过修改招标文件酌情延长投标截止日期，在此情况下，投标人的所有权利和义务以及投标人受制的截止日期均应以延长后新的截止日期为准。</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0" w:name="_Toc16938543"/>
      <w:r/>
      <w:bookmarkStart w:id="121" w:name="_Toc513029227"/>
      <w:r/>
      <w:bookmarkStart w:id="122" w:name="_Toc20823299"/>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投标文件</w:t>
      </w:r>
      <w:bookmarkEnd w:id="120"/>
      <w:r/>
      <w:bookmarkEnd w:id="121"/>
      <w:r/>
      <w:bookmarkEnd w:id="122"/>
      <w:r>
        <w:rPr>
          <w:rFonts w:hint="eastAsia" w:ascii="宋体" w:hAnsi="宋体" w:eastAsia="宋体" w:cs="宋体"/>
          <w:color w:val="000000"/>
          <w:sz w:val="24"/>
          <w:szCs w:val="24"/>
          <w:highlight w:val="none"/>
        </w:rPr>
        <w:t xml:space="preserve">的拒收</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 采购中心拒绝接收在其规定的投标截止时间后上传的任何投标文件。</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3" w:name="_Toc16938544"/>
      <w:r/>
      <w:bookmarkStart w:id="124" w:name="_Toc513029228"/>
      <w:r/>
      <w:bookmarkStart w:id="125" w:name="_Toc20823300"/>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投标文件的撤回和修改</w:t>
      </w:r>
      <w:bookmarkEnd w:id="123"/>
      <w:r/>
      <w:bookmarkEnd w:id="124"/>
      <w:r/>
      <w:bookmarkEnd w:id="125"/>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 投标文件的撤回</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 电子投标文件的撤回</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 投标人撤回电子投标文件，则认为其不再参与本项目投标活动。</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 投标文件的修改</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.2.1投标人可在投标截止时间前，对其电子投标文件进行修改，具体操作方法见《操作手册》。</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.2.2 在投标截止时间之后，投标人不得对其电子投标文件作任何修改。</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在投标截止时间至招标文件中规定的投标有效期满之间的这段时间内，投标人不得撤回其投标。</w:t>
      </w:r>
      <w:r/>
    </w:p>
    <w:p>
      <w:pPr>
        <w:pStyle w:val="846"/>
        <w:ind w:firstLine="482"/>
        <w:jc w:val="both"/>
        <w:keepLines/>
        <w:keepNext/>
        <w:pageBreakBefore w:val="0"/>
        <w:spacing w:before="145" w:beforeAutospacing="0" w:after="145" w:afterAutospacing="0" w:line="360" w:lineRule="auto"/>
        <w:widowControl w:val="off"/>
        <w:rPr>
          <w:rFonts w:hint="eastAsia" w:ascii="宋体" w:hAnsi="宋体" w:eastAsia="宋体" w:cs="宋体"/>
          <w:b/>
          <w:color w:val="000000"/>
          <w:sz w:val="24"/>
          <w:szCs w:val="24"/>
          <w:highlight w:val="none"/>
        </w:rPr>
      </w:pPr>
      <w:r/>
      <w:bookmarkStart w:id="126" w:name="_Toc513029229"/>
      <w:r/>
      <w:bookmarkStart w:id="127" w:name="_Toc20823301"/>
      <w:r/>
      <w:bookmarkStart w:id="128" w:name="_Toc120614218"/>
      <w:r/>
      <w:bookmarkStart w:id="129" w:name="_Toc16938545"/>
      <w:r>
        <w:rPr>
          <w:rFonts w:hint="eastAsia" w:ascii="宋体" w:hAnsi="宋体" w:eastAsia="宋体" w:cs="宋体"/>
          <w:b/>
          <w:color w:val="000000"/>
          <w:sz w:val="24"/>
          <w:szCs w:val="24"/>
          <w:highlight w:val="none"/>
        </w:rPr>
        <w:t xml:space="preserve">五、开标与评标</w:t>
      </w:r>
      <w:bookmarkEnd w:id="126"/>
      <w:r/>
      <w:bookmarkEnd w:id="127"/>
      <w:r/>
      <w:bookmarkEnd w:id="128"/>
      <w:r/>
      <w:bookmarkEnd w:id="129"/>
      <w:r/>
      <w:bookmarkStart w:id="130" w:name="_Toc513029230"/>
      <w:r/>
      <w:bookmarkStart w:id="131" w:name="_Toc16938546"/>
      <w:r/>
      <w:bookmarkStart w:id="132" w:name="_Toc20823302"/>
      <w:r/>
      <w:r/>
    </w:p>
    <w:p>
      <w:pPr>
        <w:pStyle w:val="846"/>
        <w:ind w:firstLine="480"/>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开标</w:t>
      </w:r>
      <w:bookmarkEnd w:id="130"/>
      <w:r/>
      <w:bookmarkEnd w:id="131"/>
      <w:r/>
      <w:bookmarkEnd w:id="132"/>
      <w:r/>
      <w:r/>
    </w:p>
    <w:p>
      <w:pPr>
        <w:pStyle w:val="846"/>
        <w:ind w:firstLine="36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 采购中心将在招标公告中规定的时间和地点组织公开开标。投标人应当按照《操作手册》规定，参加开标活动</w:t>
      </w:r>
      <w:r>
        <w:rPr>
          <w:rFonts w:hint="eastAsia" w:ascii="宋体" w:hAnsi="宋体" w:eastAsia="宋体" w:cs="宋体"/>
          <w:color w:val="auto"/>
          <w:sz w:val="24"/>
          <w:szCs w:val="24"/>
          <w:highlight w:val="none"/>
        </w:rPr>
        <w:t xml:space="preserve">和在苏采云系统规定的时间内对投标文件进行解密。</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.2开标仪式由采购中心组织。苏采云系统将自动对项目进行开标，并宣布各投标人名称和投标价格。</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.3投标人在开标过程中涉及到的投标文件解密、开标结果确认等工作，应按照《操作手册》规定执行。</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3" w:name="_Toc513029231"/>
      <w:r/>
      <w:bookmarkStart w:id="134" w:name="_Toc20823303"/>
      <w:r/>
      <w:bookmarkStart w:id="135" w:name="_Toc16938547"/>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评标委员会</w:t>
      </w:r>
      <w:bookmarkEnd w:id="133"/>
      <w:r/>
      <w:bookmarkEnd w:id="134"/>
      <w:r/>
      <w:bookmarkEnd w:id="135"/>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.1开标后，采购中心将立即组织评标委员会（以下简称评委会）进行评标。</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评委会由采购人代表和有关技术、经济等方面的专家组成，且人员构成符合政府采购有关规定。</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评标过程的保密与公正</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.1凡是与审查、澄清、评价和比较投标的有关资料以及授标建议等，采购人、评委、采购中心均不得向投标人或与评标无关的其他人员透露。</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.2在评标过程中，投标人不得以任何行为影响评标过程，否则其投标文件将被作为无效投标文件。</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 采购中心和评标委员会不向未中标的投标人解释未中标原因，也不公布评标过程中的相关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6" w:name="_Toc513029232"/>
      <w:r/>
      <w:bookmarkStart w:id="137" w:name="_Toc16938548"/>
      <w:r/>
      <w:bookmarkStart w:id="138" w:name="_Toc20823304"/>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投标文件的澄清</w:t>
      </w:r>
      <w:bookmarkEnd w:id="136"/>
      <w:r/>
      <w:bookmarkEnd w:id="137"/>
      <w:r/>
      <w:bookmarkEnd w:id="138"/>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39" w:name="_Toc20823305"/>
      <w:r/>
      <w:bookmarkStart w:id="140" w:name="_Toc16938549"/>
      <w:r/>
      <w:bookmarkStart w:id="141" w:name="_Toc513029233"/>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对投标文件的初审</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.1投标文件初审分为资格审查和符合性审查。</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.1.1资格审查：依据法律法规和招标文件的规定，由采购人对投标文件中的资格证明文件进行审查。资格审查的结论，采购人以书面形式向评委会进行反馈。</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 符合性审查：依据招标文件的规定，由评委会从投标文件的有效性、完整性和对招标文件的响应程度进行审查，以确定是否对招标文件的实质性要求作出响应。</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.1.3 未通过资格审查或符合性审查的投标人，采购中心将</w:t>
      </w:r>
      <w:r>
        <w:rPr>
          <w:rFonts w:hint="eastAsia" w:ascii="宋体" w:hAnsi="宋体" w:eastAsia="宋体" w:cs="宋体"/>
          <w:color w:val="auto"/>
          <w:sz w:val="24"/>
          <w:szCs w:val="24"/>
          <w:highlight w:val="none"/>
        </w:rPr>
        <w:t xml:space="preserve">在苏采云系统中告知未通过资格审查或符合性审查的原因，评审结束后，采购中心将不再告知未通过资格审查或符合性审查的原因。</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.4评委会将对确定为实质性响应的投标进行进一步审核，看其是否有计算上或累加上的算术错误，修正错误的原则如下：</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.5评委会将按上述修正错误的方法调整投标文件中的投标报价，并通过苏采云系统告知投标人，调整后的价格应对投标人具有约束力。如果投标人不接受修正后的价格，则其投标将被拒绝。</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42" w:name="_Toc513029234"/>
      <w:r/>
      <w:bookmarkStart w:id="143" w:name="_Toc20823306"/>
      <w:r/>
      <w:bookmarkStart w:id="144" w:name="_Toc16938550"/>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46"/>
        <w:ind w:firstLine="42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包件一核心产品为：</w:t>
      </w:r>
      <w:r>
        <w:rPr>
          <w:rFonts w:hint="eastAsia" w:ascii="宋体" w:hAnsi="宋体" w:eastAsia="宋体" w:cs="宋体"/>
          <w:color w:val="000000"/>
          <w:sz w:val="24"/>
          <w:szCs w:val="24"/>
          <w:highlight w:val="none"/>
          <w:u w:val="single"/>
          <w:lang w:val="en-US" w:eastAsia="zh-CN"/>
        </w:rPr>
        <w:t xml:space="preserve">铁床  </w:t>
      </w:r>
      <w:r>
        <w:rPr>
          <w:rFonts w:hint="eastAsia" w:ascii="宋体" w:hAnsi="宋体" w:eastAsia="宋体" w:cs="宋体"/>
          <w:color w:val="000000"/>
          <w:sz w:val="24"/>
          <w:szCs w:val="24"/>
          <w:highlight w:val="none"/>
          <w:lang w:val="en-US" w:eastAsia="zh-CN"/>
        </w:rPr>
        <w:t xml:space="preserve">包件二核心产品为：</w:t>
      </w:r>
      <w:r>
        <w:rPr>
          <w:rFonts w:hint="eastAsia" w:ascii="宋体" w:hAnsi="宋体" w:eastAsia="宋体" w:cs="宋体"/>
          <w:color w:val="000000"/>
          <w:sz w:val="24"/>
          <w:szCs w:val="24"/>
          <w:highlight w:val="none"/>
          <w:u w:val="single"/>
          <w:lang w:val="en-US" w:eastAsia="zh-CN"/>
        </w:rPr>
        <w:t xml:space="preserve">大2匹挂机</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。多家投标人提供的核心产品品牌相同的，按前两款规定处理。</w:t>
      </w:r>
      <w:r/>
    </w:p>
    <w:p>
      <w:pPr>
        <w:pStyle w:val="846"/>
        <w:ind w:firstLine="42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无效投标条款和废标条款</w:t>
      </w:r>
      <w:r/>
    </w:p>
    <w:p>
      <w:pPr>
        <w:pStyle w:val="846"/>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5" w:name="_Toc20823307"/>
      <w:r/>
      <w:bookmarkStart w:id="146" w:name="_Toc513029235"/>
      <w:r/>
      <w:bookmarkStart w:id="147" w:name="_Toc16938551"/>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.1无效投标条款</w:t>
      </w:r>
      <w:bookmarkEnd w:id="145"/>
      <w:r/>
      <w:bookmarkEnd w:id="146"/>
      <w:r/>
      <w:bookmarkEnd w:id="147"/>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 投标人在苏采云系统规定的时间内未成功解密电子投标文件的。</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 投标人未按照招标文件要求上传电子投标文件的。</w:t>
      </w:r>
      <w:r/>
    </w:p>
    <w:p>
      <w:pPr>
        <w:pStyle w:val="846"/>
        <w:ind w:left="479"/>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.1.3同一投标人提交两个（含两个）以上不同的投标报价的。</w:t>
      </w:r>
      <w:r/>
    </w:p>
    <w:p>
      <w:pPr>
        <w:pStyle w:val="846"/>
        <w:ind w:left="479"/>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.1.4投标人不具备招标文件中规定资格要求的。</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.1.5投标人的报价超过了采购预算或最高限价的。</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.1.6未通过符合性审查的。</w:t>
      </w:r>
      <w:r/>
    </w:p>
    <w:p>
      <w:pPr>
        <w:pStyle w:val="846"/>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.1.9投标文件含有采购人不能接受的附加条件的。</w:t>
      </w:r>
      <w:r/>
    </w:p>
    <w:p>
      <w:pPr>
        <w:pStyle w:val="846"/>
        <w:ind w:firstLine="480"/>
        <w:jc w:val="both"/>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.1.10</w:t>
      </w:r>
      <w:r>
        <w:rPr>
          <w:rFonts w:hint="eastAsia" w:ascii="宋体" w:hAnsi="宋体" w:eastAsia="宋体" w:cs="宋体"/>
          <w:b/>
          <w:bCs/>
          <w:color w:val="auto"/>
          <w:sz w:val="24"/>
          <w:szCs w:val="24"/>
          <w:highlight w:val="none"/>
        </w:rPr>
        <w:t xml:space="preserve">投标人不能证明其报价合理性的，评</w:t>
      </w:r>
      <w:r>
        <w:rPr>
          <w:rFonts w:hint="eastAsia" w:ascii="宋体" w:hAnsi="宋体" w:eastAsia="宋体" w:cs="宋体"/>
          <w:b/>
          <w:bCs/>
          <w:color w:val="auto"/>
          <w:sz w:val="24"/>
          <w:szCs w:val="24"/>
          <w:highlight w:val="none"/>
          <w:lang w:val="en-US" w:eastAsia="zh-CN"/>
        </w:rPr>
        <w:t xml:space="preserve">标</w:t>
      </w:r>
      <w:r>
        <w:rPr>
          <w:rFonts w:hint="eastAsia" w:ascii="宋体" w:hAnsi="宋体" w:eastAsia="宋体" w:cs="宋体"/>
          <w:b/>
          <w:bCs/>
          <w:color w:val="auto"/>
          <w:sz w:val="24"/>
          <w:szCs w:val="24"/>
          <w:highlight w:val="none"/>
        </w:rPr>
        <w:t xml:space="preserve">委员会应当将其作为无效投标处理。</w:t>
      </w:r>
      <w:r/>
    </w:p>
    <w:p>
      <w:pPr>
        <w:pStyle w:val="846"/>
        <w:ind w:firstLine="480"/>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（一）评审过程中出现下列情形之一的，评标委员会应当启动异常低价投标审查程序：</w:t>
      </w:r>
      <w:r/>
    </w:p>
    <w:p>
      <w:pPr>
        <w:pStyle w:val="846"/>
        <w:ind w:firstLine="480"/>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1.投标报价低于采购项目预算50%的，即投标报价&lt;采购项目预算×50%；</w:t>
      </w:r>
      <w:r/>
    </w:p>
    <w:p>
      <w:pPr>
        <w:pStyle w:val="846"/>
        <w:ind w:firstLine="480"/>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2.投标报价低于采购项目最高限价45%的，即投标报价&lt;采购项目最高限价×45%；</w:t>
      </w:r>
      <w:r/>
    </w:p>
    <w:p>
      <w:pPr>
        <w:pStyle w:val="846"/>
        <w:ind w:firstLine="480"/>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3.评标委员会认定的供应商报价过低、有可能影响产品质量或者不能诚信履约的其他情形。</w:t>
      </w:r>
      <w:r/>
    </w:p>
    <w:p>
      <w:pPr>
        <w:pStyle w:val="846"/>
        <w:ind w:firstLine="480"/>
        <w:jc w:val="both"/>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000000"/>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.1.11本项目采购产品被财政部、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.1.12 投标文件未按照招标文件要求加盖CA电子公章的。</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.1.13其他法律、法规及本招标文件规定的属无效投标的情形。</w:t>
      </w:r>
      <w:r/>
    </w:p>
    <w:p>
      <w:pPr>
        <w:pStyle w:val="846"/>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.2废标条款</w:t>
      </w:r>
      <w:r/>
    </w:p>
    <w:p>
      <w:pPr>
        <w:pStyle w:val="846"/>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.2.1符合专业条件的供应商或者对招标文件作实质响应的供应商不足三家的。</w:t>
      </w:r>
      <w:r/>
    </w:p>
    <w:p>
      <w:pPr>
        <w:pStyle w:val="846"/>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.2.2出现影响采购公正的违法、违规行为的。</w:t>
      </w:r>
      <w:r/>
    </w:p>
    <w:p>
      <w:pPr>
        <w:pStyle w:val="846"/>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.2.3因重大变故，采购任务取消的。</w:t>
      </w:r>
      <w:r/>
    </w:p>
    <w:p>
      <w:pPr>
        <w:pStyle w:val="846"/>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.2.4评标委员会认定招标文件存在歧义、重大缺陷导致评审工作无法进行。</w:t>
      </w:r>
      <w:r/>
    </w:p>
    <w:p>
      <w:pPr>
        <w:pStyle w:val="846"/>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846"/>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 投标截止时间结束后参加投标的供应商不足三家的处理：</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846"/>
        <w:ind w:firstLine="48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148" w:name="_Toc120614219"/>
      <w:r>
        <w:rPr>
          <w:rFonts w:hint="eastAsia" w:ascii="宋体" w:hAnsi="宋体" w:eastAsia="宋体" w:cs="宋体"/>
          <w:b/>
          <w:color w:val="000000"/>
          <w:sz w:val="24"/>
          <w:szCs w:val="24"/>
          <w:highlight w:val="none"/>
        </w:rPr>
        <w:t xml:space="preserve">六、定标</w:t>
      </w:r>
      <w:bookmarkEnd w:id="148"/>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49" w:name="_Toc513029238"/>
      <w:r/>
      <w:bookmarkStart w:id="150" w:name="_Toc16938554"/>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确定</w:t>
      </w:r>
      <w:bookmarkEnd w:id="149"/>
      <w:r/>
      <w:bookmarkEnd w:id="150"/>
      <w:r>
        <w:rPr>
          <w:rFonts w:hint="eastAsia" w:ascii="宋体" w:hAnsi="宋体" w:eastAsia="宋体" w:cs="宋体"/>
          <w:color w:val="000000"/>
          <w:sz w:val="24"/>
          <w:szCs w:val="24"/>
          <w:highlight w:val="none"/>
        </w:rPr>
        <w:t xml:space="preserve">中标单位</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.1中标候选人的选取原则和数量见招标文件第五章规定。 </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 采购人应根据评委会推荐的中标候选人确定中标人。</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 采购中心将在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.4若有充分证据证明，中标人出现下列情况之一的，一经查实，将被取消中标资格：</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.4.1提供虚假材料谋取中标的。</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.4.2向采购人、采购中心行贿或者提供其他不正当利益的。</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.4.3属于本文件规定的无效条件，但在评标过程中又未被评委会发现的。</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.4.4与采购人或者其他供应商恶意串通的。</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.4.5采取不正当手段诋毁、排挤其他供应商的。</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51" w:name="_Toc200451960"/>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.5.有下列情形之一的，视为投标人串通投标，投标无效：</w:t>
      </w:r>
      <w:bookmarkEnd w:id="151"/>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.5.1不同投标人的投标文件由同一单位或者个人编制；</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.5.2不同投标人委托同一单位或者个人办理投标事宜；</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.5.3 不同投标人的投标文件载明的项目管理成员或者联系人员为同一人；</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.5.4不同投标人的投标文件异常一致或者投标报价呈规律性差异；</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质疑处理</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.2.3对中标或者成交结果提出质疑的，为中标或者成交结果公告期限届满之日。</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846"/>
        <w:ind w:firstLine="480"/>
        <w:jc w:val="both"/>
        <w:pageBreakBefore w:val="0"/>
        <w:spacing w:beforeAutospacing="0" w:afterAutospacing="0" w:line="360" w:lineRule="auto"/>
        <w:widowControl w:val="off"/>
        <w:rPr>
          <w:rFonts w:hint="eastAsia" w:ascii="宋体" w:hAnsi="宋体" w:eastAsia="宋体" w:cs="宋体"/>
          <w:sz w:val="24"/>
        </w:rPr>
      </w:pPr>
      <w:r>
        <w:rPr>
          <w:rFonts w:hint="eastAsia" w:ascii="宋体" w:hAnsi="宋体" w:eastAsia="宋体" w:cs="宋体"/>
          <w:color w:val="auto"/>
          <w:sz w:val="24"/>
          <w:szCs w:val="24"/>
          <w:highlight w:val="none"/>
        </w:rPr>
        <w:t xml:space="preserve">采购人及采购中心只接收以纸质原件形式送达的质疑,采购人和采购中心不接受未填写快递运单的快件。</w:t>
      </w:r>
      <w:r>
        <w:rPr>
          <w:rFonts w:hint="eastAsia" w:ascii="宋体" w:hAnsi="宋体" w:eastAsia="宋体" w:cs="宋体"/>
          <w:sz w:val="24"/>
        </w:rPr>
        <w:t xml:space="preserve">质疑接收部门为滨海县政府采购中心，联系地址：滨海县县城育才路166号滨海县政务服务中心313</w:t>
      </w:r>
      <w:r>
        <w:rPr>
          <w:rFonts w:hint="eastAsia" w:ascii="宋体" w:hAnsi="宋体" w:eastAsia="宋体" w:cs="宋体"/>
          <w:sz w:val="24"/>
          <w:lang w:val="en-US" w:eastAsia="zh-CN"/>
        </w:rPr>
        <w:t xml:space="preserve">1</w:t>
      </w:r>
      <w:r>
        <w:rPr>
          <w:rFonts w:hint="eastAsia" w:ascii="宋体" w:hAnsi="宋体" w:eastAsia="宋体" w:cs="宋体"/>
          <w:sz w:val="24"/>
        </w:rPr>
        <w:t xml:space="preserve">室，联系电话：17802663818。</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未参加投标活动的供应商或在投标活动中自身权益未受到损害的供应商所提出的质疑。</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.5.5供应商组成联合体参加投标，联合体中任何一方或多方未按要求签字、盖章、加盖公章的质疑。</w:t>
      </w:r>
      <w:r/>
    </w:p>
    <w:p>
      <w:pPr>
        <w:pStyle w:val="846"/>
        <w:ind w:firstLine="468"/>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中标通知书</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.l中标结果确定后，采购中心将向中标人发出中标通知书。请中标人在中标结果公告届满之日起30日内,使用CA数字证书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p>
    <w:p>
      <w:pPr>
        <w:pStyle w:val="846"/>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846"/>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152" w:name="_Toc20823308"/>
      <w:r/>
      <w:bookmarkStart w:id="153" w:name="_Toc16938552"/>
      <w:r/>
      <w:bookmarkStart w:id="154" w:name="_Toc513029236"/>
      <w:r/>
      <w:bookmarkStart w:id="155" w:name="_Toc120614220"/>
      <w:r>
        <w:rPr>
          <w:rFonts w:hint="eastAsia" w:ascii="宋体" w:hAnsi="宋体" w:eastAsia="宋体" w:cs="宋体"/>
          <w:b/>
          <w:color w:val="000000"/>
          <w:sz w:val="24"/>
          <w:szCs w:val="24"/>
          <w:highlight w:val="none"/>
        </w:rPr>
        <w:t xml:space="preserve">七、授予合同</w:t>
      </w:r>
      <w:bookmarkEnd w:id="152"/>
      <w:r/>
      <w:bookmarkEnd w:id="153"/>
      <w:r/>
      <w:bookmarkEnd w:id="154"/>
      <w:r/>
      <w:bookmarkEnd w:id="155"/>
      <w:r/>
      <w:r/>
    </w:p>
    <w:p>
      <w:pPr>
        <w:pStyle w:val="846"/>
        <w:ind w:firstLine="60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6" w:name="_Toc513029237"/>
      <w:r/>
      <w:bookmarkStart w:id="157" w:name="_Toc16938553"/>
      <w:r/>
      <w:bookmarkStart w:id="158" w:name="_Toc20823309"/>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.签订合同</w:t>
      </w:r>
      <w:bookmarkEnd w:id="156"/>
      <w:r/>
      <w:bookmarkEnd w:id="157"/>
      <w:r/>
      <w:bookmarkEnd w:id="158"/>
      <w:r/>
      <w:r/>
    </w:p>
    <w:p>
      <w:pPr>
        <w:pStyle w:val="846"/>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.l中标人应当在中标通知书发出之日起三十日内，按照招标文件确定的事项与采购人签订政府采购合同。</w:t>
      </w:r>
      <w:r/>
    </w:p>
    <w:p>
      <w:pPr>
        <w:pStyle w:val="846"/>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.2招标文件、中标人的投标文件及招标过程中有关澄清、承诺文件均应作为合同附件。</w:t>
      </w:r>
      <w:r/>
    </w:p>
    <w:p>
      <w:pPr>
        <w:pStyle w:val="846"/>
        <w:ind w:firstLine="600"/>
        <w:jc w:val="both"/>
        <w:pageBreakBefore w:val="0"/>
        <w:spacing w:beforeAutospacing="0" w:afterAutospacing="0" w:line="360" w:lineRule="auto"/>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货物（包含与货物相关的服务）的追加</w:t>
      </w:r>
      <w:r/>
    </w:p>
    <w:p>
      <w:pPr>
        <w:pStyle w:val="846"/>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46"/>
        <w:numPr>
          <w:ilvl w:val="0"/>
          <w:numId w:val="0"/>
        </w:numPr>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846"/>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.3.1中小企业定义：</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846"/>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32.4政府采购节能产品、环境标志产品</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32.5绿色包装</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ind w:left="0" w:right="0" w:firstLine="478"/>
        <w:jc w:val="both"/>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firstLine="482"/>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pStyle w:val="850"/>
        <w:ind w:left="0" w:firstLine="56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供应商在签订合同前，须向采购人交纳履约保证金（履约保证金的数额为合同金额的10%，以现金转账、支票、汇票、本票或者银行保函形式提交），履约保证金必须交至采购人指定账户。如是开具保函必须是无条件即索即兑的银行保函，保函有效期为签订合同后3个月，保函开具行必须为采购人指定行，且须完全符合采购人要求。如中标人在收到中标通知书后15日内未按上述要求交付履约保证金，采购人有权单方取消投标人中标资格。对AA评级及以上政府采购供应商，可按合同金额的5%比例缴纳履约保证金。</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w:t>
      </w:r>
      <w:r/>
    </w:p>
    <w:p>
      <w:pPr>
        <w:ind w:firstLine="482"/>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firstLine="480"/>
        <w:pageBreakBefore w:val="0"/>
        <w:spacing w:line="360" w:lineRule="auto"/>
        <w:widowControl w:val="off"/>
        <w:rPr>
          <w:highlight w:val="none"/>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jc w:val="both"/>
        <w:keepLines w:val="0"/>
        <w:keepNext w:val="0"/>
        <w:pageBreakBefore w:val="0"/>
        <w:spacing w:line="360" w:lineRule="auto"/>
        <w:widowControl w:val="off"/>
        <w:rPr>
          <w:rFonts w:hint="eastAsia" w:ascii="宋体" w:hAnsi="宋体" w:eastAsia="宋体" w:cs="宋体"/>
          <w:color w:val="000000"/>
          <w:sz w:val="44"/>
          <w:szCs w:val="44"/>
          <w:highlight w:val="none"/>
        </w:rPr>
      </w:pPr>
      <w:r/>
      <w:bookmarkStart w:id="159" w:name="_Toc479757211"/>
      <w:r/>
      <w:bookmarkStart w:id="160" w:name="_Toc16938590"/>
      <w:r/>
      <w:bookmarkStart w:id="161" w:name="_Hlt16619350"/>
      <w:r/>
      <w:bookmarkStart w:id="162" w:name="_Toc20823346"/>
      <w:r/>
      <w:bookmarkStart w:id="163" w:name="_Toc462564139"/>
      <w:r/>
      <w:bookmarkStart w:id="164" w:name="_Toc120614244"/>
      <w:r/>
      <w:bookmarkStart w:id="165" w:name="_Hlt16619369"/>
      <w:r/>
      <w:r/>
    </w:p>
    <w:p>
      <w:pPr>
        <w:jc w:val="left"/>
        <w:keepLines w:val="0"/>
        <w:keepNext w:val="0"/>
        <w:pageBreakBefore w:val="0"/>
        <w:spacing w:line="360" w:lineRule="auto"/>
        <w:widowControl w:val="off"/>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jc w:val="center"/>
        <w:keepLines w:val="0"/>
        <w:keepNext w:val="0"/>
        <w:pageBreakBefore w:val="0"/>
        <w:spacing w:line="360" w:lineRule="auto"/>
        <w:widowControl w:val="off"/>
        <w:rPr>
          <w:rFonts w:hint="eastAsia" w:ascii="宋体" w:hAnsi="宋体" w:eastAsia="宋体" w:cs="宋体"/>
          <w:b/>
          <w:bCs/>
          <w:sz w:val="44"/>
          <w:szCs w:val="44"/>
          <w:highlight w:val="none"/>
        </w:rPr>
      </w:pPr>
      <w:r>
        <w:rPr>
          <w:rFonts w:hint="eastAsia" w:ascii="宋体" w:hAnsi="宋体" w:eastAsia="宋体" w:cs="宋体"/>
          <w:b/>
          <w:bCs/>
          <w:color w:val="000000"/>
          <w:sz w:val="44"/>
          <w:szCs w:val="44"/>
          <w:highlight w:val="none"/>
        </w:rPr>
        <w:t xml:space="preserve">第三章  合同文本</w:t>
      </w:r>
      <w:r/>
    </w:p>
    <w:p>
      <w:pPr>
        <w:pStyle w:val="867"/>
        <w:ind w:firstLine="480"/>
        <w:jc w:val="both"/>
        <w:keepLines w:val="0"/>
        <w:keepNext w:val="0"/>
        <w:pageBreakBefore w:val="0"/>
        <w:spacing w:beforeAutospacing="0" w:afterAutospacing="0" w:line="360" w:lineRule="auto"/>
        <w:widowControl w:val="off"/>
        <w:rPr>
          <w:sz w:val="24"/>
          <w:szCs w:val="24"/>
          <w:highlight w:val="none"/>
        </w:rPr>
      </w:pPr>
      <w:r/>
      <w:bookmarkStart w:id="166" w:name="_Toc513029243"/>
      <w:r/>
      <w:bookmarkStart w:id="167" w:name="_Toc16938559"/>
      <w:r/>
      <w:bookmarkStart w:id="168" w:name="_Toc20823315"/>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66"/>
      <w:r/>
      <w:bookmarkEnd w:id="167"/>
      <w:r/>
      <w:bookmarkEnd w:id="168"/>
      <w:r>
        <w:rPr>
          <w:sz w:val="24"/>
          <w:szCs w:val="24"/>
          <w:highlight w:val="none"/>
        </w:rPr>
        <w:t xml:space="preserve"> </w:t>
      </w:r>
      <w:r/>
    </w:p>
    <w:p>
      <w:pPr>
        <w:pStyle w:val="867"/>
        <w:jc w:val="center"/>
        <w:keepLines w:val="0"/>
        <w:keepNext w:val="0"/>
        <w:pageBreakBefore w:val="0"/>
        <w:spacing w:before="145" w:beforeAutospacing="0" w:after="145" w:afterAutospacing="0" w:line="360" w:lineRule="auto"/>
        <w:widowControl w:val="off"/>
        <w:rPr>
          <w:rFonts w:hint="eastAsia" w:ascii="宋体" w:hAnsi="宋体" w:eastAsia="宋体"/>
          <w:highlight w:val="none"/>
        </w:rPr>
      </w:pPr>
      <w:r>
        <w:rPr>
          <w:rFonts w:hint="eastAsia" w:ascii="宋体" w:hAnsi="宋体" w:eastAsia="宋体" w:cs="宋体"/>
          <w:b/>
          <w:color w:val="000000"/>
          <w:sz w:val="30"/>
          <w:szCs w:val="30"/>
          <w:highlight w:val="none"/>
        </w:rPr>
        <w:t xml:space="preserve">盐城市政府采购合同（货物）（合同编号）</w:t>
      </w:r>
      <w:r/>
    </w:p>
    <w:p>
      <w:pPr>
        <w:pStyle w:val="862"/>
        <w:keepLines w:val="0"/>
        <w:keepNext w:val="0"/>
        <w:pageBreakBefore w:val="0"/>
        <w:spacing w:before="120" w:after="120" w:line="360" w:lineRule="auto"/>
        <w:rPr>
          <w:rFonts w:hint="eastAsia" w:hAnsi="宋体" w:eastAsia="宋体" w:cs="宋体"/>
          <w:color w:val="000000"/>
          <w:sz w:val="24"/>
          <w:szCs w:val="24"/>
        </w:rPr>
      </w:pPr>
      <w:r>
        <w:rPr>
          <w:rFonts w:hint="eastAsia" w:hAnsi="宋体" w:eastAsia="宋体" w:cs="宋体"/>
          <w:color w:val="000000"/>
          <w:sz w:val="24"/>
          <w:szCs w:val="24"/>
        </w:rPr>
        <w:t xml:space="preserve">项目名称：         </w:t>
      </w:r>
      <w:r/>
    </w:p>
    <w:p>
      <w:pPr>
        <w:pStyle w:val="862"/>
        <w:keepLines w:val="0"/>
        <w:keepNext w:val="0"/>
        <w:pageBreakBefore w:val="0"/>
        <w:spacing w:before="120" w:after="120" w:line="360" w:lineRule="auto"/>
        <w:rPr>
          <w:rFonts w:hint="eastAsia" w:hAnsi="宋体" w:eastAsia="宋体" w:cs="宋体"/>
          <w:color w:val="000000"/>
          <w:sz w:val="24"/>
          <w:szCs w:val="24"/>
        </w:rPr>
      </w:pPr>
      <w:r>
        <w:rPr>
          <w:rFonts w:hint="eastAsia" w:hAnsi="宋体" w:eastAsia="宋体" w:cs="宋体"/>
          <w:color w:val="000000"/>
          <w:sz w:val="24"/>
          <w:szCs w:val="24"/>
        </w:rPr>
        <w:t xml:space="preserve">项目编号：</w:t>
      </w:r>
      <w:r/>
    </w:p>
    <w:p>
      <w:pPr>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甲方：（买方）</w:t>
      </w:r>
      <w:r>
        <w:rPr>
          <w:rFonts w:hint="eastAsia" w:ascii="宋体" w:hAnsi="宋体" w:cs="宋体"/>
          <w:color w:val="000000"/>
          <w:sz w:val="24"/>
          <w:szCs w:val="24"/>
          <w:u w:val="single"/>
        </w:rPr>
        <w:t xml:space="preserve">                        </w:t>
      </w:r>
      <w:r/>
    </w:p>
    <w:p>
      <w:pPr>
        <w:keepLines w:val="0"/>
        <w:keepNext w:val="0"/>
        <w:pageBreakBefore w:val="0"/>
        <w:spacing w:before="120" w:after="120" w:line="360" w:lineRule="auto"/>
        <w:rPr>
          <w:rFonts w:hint="eastAsia"/>
          <w:color w:val="000000"/>
        </w:rPr>
      </w:pPr>
      <w:r>
        <w:rPr>
          <w:rFonts w:hint="eastAsia" w:ascii="宋体" w:hAnsi="宋体" w:cs="宋体"/>
          <w:color w:val="000000"/>
          <w:sz w:val="24"/>
          <w:szCs w:val="24"/>
        </w:rPr>
        <w:t xml:space="preserve">乙方：（卖方）</w:t>
      </w:r>
      <w:r>
        <w:rPr>
          <w:rFonts w:hint="eastAsia" w:ascii="宋体" w:hAnsi="宋体" w:cs="宋体"/>
          <w:color w:val="000000"/>
          <w:sz w:val="24"/>
          <w:szCs w:val="24"/>
          <w:u w:val="single"/>
        </w:rPr>
        <w:t xml:space="preserve">                        </w:t>
      </w:r>
      <w:r/>
    </w:p>
    <w:p>
      <w:pPr>
        <w:ind w:firstLine="480"/>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color w:val="000000"/>
          <w:sz w:val="24"/>
          <w:szCs w:val="24"/>
        </w:rPr>
        <w:t xml:space="preserve">根据《中华人民共和国民法典》、《中华人民共和国政府采购法》等法律法规的规定以及</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项目采购结果，甲乙双方遵循平等、自愿、公平、诚实信用的原则，就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项目事宜经双方协商一致，订立本合同。</w:t>
      </w:r>
      <w:r/>
    </w:p>
    <w:p>
      <w:pPr>
        <w:ind w:firstLine="482"/>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一、</w:t>
      </w:r>
      <w:r>
        <w:rPr>
          <w:rFonts w:hint="eastAsia" w:ascii="宋体" w:hAnsi="宋体" w:cs="宋体"/>
          <w:b/>
          <w:color w:val="000000"/>
          <w:sz w:val="24"/>
          <w:szCs w:val="24"/>
          <w:lang w:val="en-US" w:eastAsia="zh-CN"/>
        </w:rPr>
        <w:t xml:space="preserve">合同</w:t>
      </w:r>
      <w:r>
        <w:rPr>
          <w:rFonts w:hint="eastAsia" w:ascii="宋体" w:hAnsi="宋体" w:cs="宋体"/>
          <w:b/>
          <w:color w:val="000000"/>
          <w:sz w:val="24"/>
          <w:szCs w:val="24"/>
        </w:rPr>
        <w:t xml:space="preserve">内容</w:t>
      </w:r>
      <w:r/>
    </w:p>
    <w:p>
      <w:pPr>
        <w:ind w:firstLine="482"/>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1.1标的名称：</w:t>
      </w:r>
      <w:r/>
    </w:p>
    <w:p>
      <w:pPr>
        <w:ind w:firstLine="482"/>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1.2标的质量：</w:t>
      </w:r>
      <w:r/>
    </w:p>
    <w:p>
      <w:pPr>
        <w:ind w:firstLine="482"/>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1.3标的数量（规模）：</w:t>
      </w:r>
      <w:r/>
    </w:p>
    <w:p>
      <w:pPr>
        <w:ind w:firstLine="482"/>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1.4履行时间（期限）：</w:t>
      </w:r>
      <w:r/>
    </w:p>
    <w:p>
      <w:pPr>
        <w:ind w:firstLine="482"/>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1.5履行地点：</w:t>
      </w:r>
      <w:r/>
    </w:p>
    <w:p>
      <w:pPr>
        <w:ind w:firstLine="482"/>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1.6履行方式：</w:t>
      </w:r>
      <w:r/>
    </w:p>
    <w:p>
      <w:pPr>
        <w:ind w:firstLine="482"/>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二、合同金额</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2.1 本合同金额为（大写）：__________________圆（￥_________元）人民币。</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2.2本合同价是指乙方为完成招标文件、采购清单中确定的所有内容。乙方已充分考虑为完成上述内容所必须的全部产品并进行相关服务所需的所有费用，即主要包括（但不限于）：所投产品费用（含全套空调内外机及空调外机机架、配件、备品备件、专用工具、技术资料等）、直接和间接成本费、劳务费、清洁费、包装费、采购费、运杂费（含运输费）、装卸费（含上下力资）、保险费、保修费、管理费、安装费（含用户墙面空调洞打孔费）、调试费、</w:t>
      </w:r>
      <w:r>
        <w:rPr>
          <w:rFonts w:hint="eastAsia" w:ascii="宋体" w:hAnsi="宋体" w:eastAsia="宋体" w:cs="宋体"/>
          <w:color w:val="000000"/>
          <w:sz w:val="24"/>
          <w:szCs w:val="24"/>
          <w:highlight w:val="none"/>
          <w:shd w:val="clear" w:color="auto" w:fill="auto"/>
          <w:lang w:val="en-US" w:eastAsia="zh-CN"/>
        </w:rPr>
        <w:t xml:space="preserve">三</w:t>
      </w:r>
      <w:r>
        <w:rPr>
          <w:rFonts w:hint="eastAsia" w:ascii="宋体" w:hAnsi="宋体" w:eastAsia="宋体" w:cs="宋体"/>
          <w:color w:val="000000"/>
          <w:sz w:val="24"/>
          <w:szCs w:val="24"/>
          <w:highlight w:val="none"/>
          <w:shd w:val="clear" w:color="auto" w:fill="auto"/>
        </w:rPr>
        <w:t xml:space="preserve">年质量保修期内维保</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售后服务费、投标费用、税金、利润、风险费、成品保护费、不可预见费及其他一切相关费用等所需的全部费用，凡漏项或少计均视为优惠，甲方不另行增加费用。各类风险和政策性调整等风险已包括在合同价中，最终结算时除合同约定调整外一律不予调整。</w:t>
      </w:r>
      <w:r/>
    </w:p>
    <w:p>
      <w:pPr>
        <w:ind w:firstLine="480"/>
        <w:keepLines w:val="0"/>
        <w:keepNext w:val="0"/>
        <w:pageBreakBefore w:val="0"/>
        <w:spacing w:before="120" w:after="120" w:line="360" w:lineRule="auto"/>
        <w:rPr>
          <w:rFonts w:hint="eastAsia" w:ascii="宋体" w:hAnsi="宋体" w:cs="宋体"/>
          <w:b w:val="0"/>
          <w:bCs/>
          <w:color w:val="000000"/>
          <w:sz w:val="24"/>
          <w:szCs w:val="24"/>
        </w:rPr>
      </w:pPr>
      <w:r>
        <w:rPr>
          <w:rFonts w:hint="eastAsia" w:ascii="宋体" w:hAnsi="宋体" w:cs="宋体"/>
          <w:b w:val="0"/>
          <w:bCs/>
          <w:color w:val="000000"/>
          <w:sz w:val="24"/>
          <w:szCs w:val="24"/>
        </w:rPr>
        <w:t xml:space="preserve">2.3本项目采用固定全费用综合单价（即将所有费用均摊销至各综合单价中）。合同实施过程及结算时，中标的综合单价一律不作调整，按实际供货数量结算。</w:t>
      </w:r>
      <w:r/>
    </w:p>
    <w:p>
      <w:pPr>
        <w:ind w:firstLine="482"/>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三、技术资料</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3.1乙方应按采购文件规定的时间向甲方提供货物的有关技术资料。</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3.2没有甲方事先书面同意，乙方不得将由甲方提供的有关合同或任何合同条文、 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四、知识产权</w:t>
      </w:r>
      <w:r/>
    </w:p>
    <w:p>
      <w:pPr>
        <w:ind w:left="1"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4.1乙方应保证甲方在使用、接受本合同货物和服务或其任何一部分时不受第三方提出侵犯其专利权、版权、商标权和工业设计权等知识产权的起诉。一旦出现侵权，由乙方负全部责任。</w:t>
      </w:r>
      <w:r/>
    </w:p>
    <w:p>
      <w:pPr>
        <w:ind w:firstLine="482"/>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五、产权担保</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5.1乙方保证所交付的货物的所有权完全属于乙方且无任何抵押、查封等产权瑕疵。</w:t>
      </w:r>
      <w:r/>
    </w:p>
    <w:p>
      <w:pPr>
        <w:ind w:firstLine="482"/>
        <w:keepLines w:val="0"/>
        <w:keepNext w:val="0"/>
        <w:pageBreakBefore w:val="0"/>
        <w:spacing w:before="120" w:after="120" w:line="360" w:lineRule="auto"/>
        <w:rPr>
          <w:rFonts w:hint="default" w:ascii="宋体" w:hAnsi="宋体" w:cs="宋体" w:eastAsiaTheme="minorEastAsia"/>
          <w:b/>
          <w:color w:val="000000"/>
          <w:sz w:val="24"/>
          <w:szCs w:val="24"/>
          <w:lang w:val="en-US" w:eastAsia="zh-CN"/>
        </w:rPr>
      </w:pPr>
      <w:r>
        <w:rPr>
          <w:rFonts w:hint="eastAsia" w:ascii="宋体" w:hAnsi="宋体" w:cs="宋体"/>
          <w:b/>
          <w:color w:val="000000"/>
          <w:sz w:val="24"/>
          <w:szCs w:val="24"/>
        </w:rPr>
        <w:t xml:space="preserve">六、转包</w:t>
      </w:r>
      <w:r>
        <w:rPr>
          <w:rFonts w:hint="eastAsia" w:ascii="宋体" w:hAnsi="宋体" w:cs="宋体"/>
          <w:b/>
          <w:color w:val="000000"/>
          <w:sz w:val="24"/>
          <w:szCs w:val="24"/>
          <w:lang w:val="en-US" w:eastAsia="zh-CN"/>
        </w:rPr>
        <w:t xml:space="preserve">或分包</w:t>
      </w:r>
      <w:r/>
    </w:p>
    <w:p>
      <w:pPr>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本合同范围的货物，应由乙方直接供应，不得转让他人供应。</w:t>
      </w:r>
      <w:r/>
    </w:p>
    <w:p>
      <w:pPr>
        <w:ind w:firstLine="480"/>
        <w:keepLines w:val="0"/>
        <w:keepNext w:val="0"/>
        <w:pageBreakBefore w:val="0"/>
        <w:spacing w:line="36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6.2 </w:t>
      </w:r>
      <w:r>
        <w:rPr>
          <w:rFonts w:hint="eastAsia" w:ascii="宋体" w:hAnsi="宋体" w:eastAsia="宋体" w:cs="宋体"/>
          <w:sz w:val="24"/>
          <w:szCs w:val="24"/>
          <w:lang w:val="en-US" w:eastAsia="en-US"/>
        </w:rPr>
        <w:t xml:space="preserve">乙方如有转包或未经甲方同意的分包行为，甲方有权解除合同。</w:t>
      </w:r>
      <w:r/>
    </w:p>
    <w:p>
      <w:pPr>
        <w:ind w:firstLine="480"/>
        <w:keepLines w:val="0"/>
        <w:keepNext w:val="0"/>
        <w:pageBreakBefore w:val="0"/>
        <w:spacing w:line="360" w:lineRule="auto"/>
        <w:rPr>
          <w:rFonts w:hint="default" w:ascii="宋体" w:hAnsi="宋体" w:cs="宋体" w:eastAsiaTheme="minorEastAsia"/>
          <w:color w:val="000000"/>
          <w:sz w:val="24"/>
          <w:szCs w:val="24"/>
          <w:lang w:val="en-US" w:eastAsia="zh-CN"/>
        </w:rPr>
      </w:pPr>
      <w:r>
        <w:rPr>
          <w:rFonts w:hint="eastAsia" w:ascii="宋体" w:hAnsi="宋体" w:cs="宋体"/>
          <w:color w:val="000000"/>
          <w:sz w:val="24"/>
          <w:szCs w:val="24"/>
          <w:lang w:val="en-US" w:eastAsia="zh-CN"/>
        </w:rPr>
        <w:t xml:space="preserve">6.3‌本次采购货物中包含图书类目，经采购人同意，允许对图书部分实施分包采购，分包供应商需具备相应资质并符合采购文件要求。</w:t>
      </w:r>
      <w:r/>
    </w:p>
    <w:p>
      <w:pPr>
        <w:ind w:firstLine="482"/>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七、履约保证金</w:t>
      </w:r>
      <w:r/>
    </w:p>
    <w:p>
      <w:pPr>
        <w:ind w:firstLine="480"/>
        <w:keepLines w:val="0"/>
        <w:keepNext w:val="0"/>
        <w:pageBreakBefore w:val="0"/>
        <w:spacing w:after="145" w:line="360" w:lineRule="auto"/>
        <w:tabs>
          <w:tab w:val="left" w:pos="900" w:leader="none"/>
        </w:tabs>
        <w:rPr>
          <w:rFonts w:hint="eastAsia" w:ascii="宋体" w:hAnsi="宋体" w:eastAsia="Arial"/>
          <w:color w:val="000000"/>
          <w:sz w:val="24"/>
          <w:highlight w:val="none"/>
          <w:lang w:eastAsia="zh-CN"/>
        </w:rPr>
      </w:pPr>
      <w:r>
        <w:rPr>
          <w:rFonts w:hint="eastAsia" w:ascii="宋体" w:hAnsi="宋体"/>
          <w:color w:val="000000"/>
          <w:sz w:val="24"/>
          <w:highlight w:val="none"/>
        </w:rPr>
        <w:t xml:space="preserve">7.1中标供应商在签订合同前，须向采购人交纳履约保证金（履约保证金的数额为合同金额的10%，以现金转账、支票、汇票、本票或者银行保函形式提交），履约保证金必须交至采购人指定账户。如是开具保函必须是无条件即索即兑的银行保函，保函有效期为签订合同后</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个月，保函开具行必须为采购人指定行，且须完全符合采购人要求。如中标人在收到中标通知书后1</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日内未按上述要求交付履约保证金，采购人有权单方取消投标人中标资格</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对AA评级及以上政府采购供应商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可按</w:t>
      </w:r>
      <w:r>
        <w:rPr>
          <w:rFonts w:hint="eastAsia" w:ascii="宋体" w:hAnsi="宋体"/>
          <w:color w:val="000000"/>
          <w:sz w:val="24"/>
          <w:highlight w:val="none"/>
        </w:rPr>
        <w:t xml:space="preserve">合同金额的</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比例</w:t>
      </w:r>
      <w:r>
        <w:rPr>
          <w:rFonts w:hint="eastAsia" w:ascii="宋体" w:hAnsi="宋体"/>
          <w:color w:val="000000"/>
          <w:sz w:val="24"/>
          <w:highlight w:val="none"/>
        </w:rPr>
        <w:t xml:space="preserve">缴纳履约保证金</w:t>
      </w:r>
      <w:r>
        <w:rPr>
          <w:rFonts w:hint="eastAsia" w:ascii="宋体" w:hAnsi="宋体"/>
          <w:color w:val="000000"/>
          <w:sz w:val="24"/>
          <w:highlight w:val="none"/>
          <w:lang w:eastAsia="zh-CN"/>
        </w:rPr>
        <w:t xml:space="preserve">。</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7.2合同履行结束后，采购人应及时退还交纳的履约保证金。</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7.3履约保证金的退还：</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lang w:val="en-US" w:eastAsia="zh-CN"/>
        </w:rPr>
        <w:t xml:space="preserve">7.3.1</w:t>
      </w:r>
      <w:r>
        <w:rPr>
          <w:rFonts w:hint="eastAsia" w:ascii="宋体" w:hAnsi="宋体"/>
          <w:color w:val="000000"/>
          <w:sz w:val="24"/>
        </w:rPr>
        <w:t xml:space="preserve">方式：退还至投标人缴纳履约保证金的账户。如为保函，在到期时自行失效。</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lang w:val="en-US" w:eastAsia="zh-CN"/>
        </w:rPr>
        <w:t xml:space="preserve">7.3.2</w:t>
      </w:r>
      <w:r>
        <w:rPr>
          <w:rFonts w:hint="eastAsia" w:ascii="宋体" w:hAnsi="宋体"/>
          <w:color w:val="000000"/>
          <w:sz w:val="24"/>
        </w:rPr>
        <w:t xml:space="preserve">时间：验收合格且采购人收到发票后</w:t>
      </w:r>
      <w:r>
        <w:rPr>
          <w:rFonts w:hint="eastAsia" w:ascii="宋体" w:hAnsi="宋体"/>
          <w:color w:val="000000"/>
          <w:sz w:val="24"/>
          <w:lang w:val="en-US" w:eastAsia="zh-CN"/>
        </w:rPr>
        <w:t xml:space="preserve">30</w:t>
      </w:r>
      <w:r>
        <w:rPr>
          <w:rFonts w:hint="eastAsia" w:ascii="宋体" w:hAnsi="宋体"/>
          <w:color w:val="000000"/>
          <w:sz w:val="24"/>
        </w:rPr>
        <w:t xml:space="preserve">日内。</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lang w:val="en-US" w:eastAsia="zh-CN"/>
        </w:rPr>
        <w:t xml:space="preserve">7.3.3</w:t>
      </w:r>
      <w:r>
        <w:rPr>
          <w:rFonts w:hint="eastAsia" w:ascii="宋体" w:hAnsi="宋体"/>
          <w:color w:val="000000"/>
          <w:sz w:val="24"/>
        </w:rPr>
        <w:t xml:space="preserve">条件：按合同要求全部履约完成并经采购人验收合格后，且采购人收到中标人出具的发票。</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7.4不予退还情形：</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除不可抗力情况外，投标人出现下列情形之一的，其履约保证金，招标人将视情节决定不予退还或部分不予退还。</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（1）中标人无正当理由拒绝签订合同的，或者在签订合同时向采购人提出附加条件或者更改合同实质性内容要求的；</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（2）中标人不履行与采购人订立的合同的；</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（3）中标人所供货物或服务不符合招标文件规定要求的；</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（4）中标人采取欺骗、弄虚作假方式投标的或与其它投标人串通投标的；</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（5）中标人将合同内容转包、违法分包的；</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（6）中标人故意捏造事实或伪造证明材料，进行虚假恶意投诉或反映的。</w:t>
      </w:r>
      <w:r/>
    </w:p>
    <w:p>
      <w:pPr>
        <w:ind w:firstLine="482"/>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八、</w:t>
      </w:r>
      <w:r>
        <w:rPr>
          <w:rFonts w:hint="eastAsia" w:ascii="宋体" w:hAnsi="宋体" w:eastAsia="宋体" w:cs="宋体"/>
          <w:b/>
          <w:color w:val="000000"/>
          <w:sz w:val="24"/>
          <w:szCs w:val="24"/>
          <w:lang w:val="en-US" w:eastAsia="zh-CN"/>
        </w:rPr>
        <w:t xml:space="preserve">免费</w:t>
      </w:r>
      <w:r>
        <w:rPr>
          <w:rFonts w:hint="eastAsia" w:ascii="宋体" w:hAnsi="宋体" w:cs="宋体"/>
          <w:b/>
          <w:color w:val="000000"/>
          <w:sz w:val="24"/>
          <w:szCs w:val="24"/>
        </w:rPr>
        <w:t xml:space="preserve">质</w:t>
      </w:r>
      <w:r>
        <w:rPr>
          <w:rFonts w:hint="eastAsia" w:ascii="宋体" w:hAnsi="宋体" w:eastAsia="宋体" w:cs="宋体"/>
          <w:b/>
          <w:color w:val="000000"/>
          <w:sz w:val="24"/>
          <w:szCs w:val="24"/>
          <w:lang w:val="en-US" w:eastAsia="zh-CN"/>
        </w:rPr>
        <w:t xml:space="preserve">量</w:t>
      </w:r>
      <w:r>
        <w:rPr>
          <w:rFonts w:hint="eastAsia" w:ascii="宋体" w:hAnsi="宋体" w:cs="宋体"/>
          <w:b/>
          <w:color w:val="000000"/>
          <w:sz w:val="24"/>
          <w:szCs w:val="24"/>
        </w:rPr>
        <w:t xml:space="preserve">保</w:t>
      </w:r>
      <w:r>
        <w:rPr>
          <w:rFonts w:hint="eastAsia" w:ascii="宋体" w:hAnsi="宋体" w:eastAsia="宋体" w:cs="宋体"/>
          <w:b/>
          <w:color w:val="000000"/>
          <w:sz w:val="24"/>
          <w:szCs w:val="24"/>
          <w:lang w:val="en-US" w:eastAsia="zh-CN"/>
        </w:rPr>
        <w:t xml:space="preserve">修</w:t>
      </w:r>
      <w:r>
        <w:rPr>
          <w:rFonts w:hint="eastAsia" w:ascii="宋体" w:hAnsi="宋体" w:cs="宋体"/>
          <w:b/>
          <w:color w:val="000000"/>
          <w:sz w:val="24"/>
          <w:szCs w:val="24"/>
        </w:rPr>
        <w:t xml:space="preserve">期</w:t>
      </w:r>
      <w:r/>
    </w:p>
    <w:p>
      <w:pPr>
        <w:ind w:firstLine="480"/>
        <w:keepLines w:val="0"/>
        <w:keepNext w:val="0"/>
        <w:pageBreakBefore w:val="0"/>
        <w:spacing w:before="120" w:after="120"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8.1 质保期（自交货验收合格之日起计）：</w:t>
      </w:r>
      <w:r>
        <w:rPr>
          <w:rFonts w:hint="eastAsia" w:ascii="宋体" w:hAnsi="宋体" w:cs="宋体"/>
          <w:color w:val="000000"/>
          <w:sz w:val="24"/>
          <w:szCs w:val="24"/>
          <w:lang w:val="en-US" w:eastAsia="zh-CN"/>
        </w:rPr>
        <w:t xml:space="preserve">三年</w:t>
      </w:r>
      <w:r>
        <w:rPr>
          <w:rFonts w:hint="eastAsia" w:ascii="宋体" w:hAnsi="宋体" w:eastAsia="宋体" w:cs="宋体"/>
          <w:color w:val="000000"/>
          <w:sz w:val="24"/>
          <w:szCs w:val="24"/>
          <w:lang w:eastAsia="zh-CN"/>
        </w:rPr>
        <w:t xml:space="preserve">。</w:t>
      </w:r>
      <w:r/>
    </w:p>
    <w:p>
      <w:pPr>
        <w:ind w:firstLine="482"/>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九、合同履行期限、交货方式及交货地点</w:t>
      </w:r>
      <w:r/>
    </w:p>
    <w:p>
      <w:pPr>
        <w:pStyle w:val="862"/>
        <w:ind w:firstLine="480"/>
        <w:keepLines w:val="0"/>
        <w:keepNext w:val="0"/>
        <w:pageBreakBefore w:val="0"/>
        <w:spacing w:before="120" w:after="120" w:line="360" w:lineRule="auto"/>
        <w:rPr>
          <w:rFonts w:hint="eastAsia" w:hAnsi="宋体" w:cs="宋体" w:eastAsiaTheme="minorEastAsia"/>
          <w:color w:val="ff0000"/>
          <w:sz w:val="24"/>
          <w:szCs w:val="24"/>
          <w:highlight w:val="none"/>
          <w:lang w:eastAsia="zh-CN"/>
        </w:rPr>
      </w:pPr>
      <w:r>
        <w:rPr>
          <w:rFonts w:hint="eastAsia" w:hAnsi="宋体" w:eastAsia="宋体" w:cs="宋体"/>
          <w:color w:val="000000"/>
          <w:sz w:val="24"/>
          <w:szCs w:val="24"/>
        </w:rPr>
        <w:t xml:space="preserve">9.1 </w:t>
      </w:r>
      <w:r>
        <w:rPr>
          <w:rFonts w:hint="eastAsia" w:ascii="宋体" w:hAnsi="宋体" w:cs="宋体"/>
          <w:sz w:val="24"/>
          <w:szCs w:val="24"/>
          <w:highlight w:val="none"/>
        </w:rPr>
        <w:t xml:space="preserve">供货期限（含安装调试工期）：</w:t>
      </w:r>
      <w:r>
        <w:rPr>
          <w:rFonts w:hint="eastAsia" w:ascii="宋体" w:hAnsi="宋体" w:eastAsia="宋体" w:cs="宋体"/>
          <w:b/>
          <w:i w:val="0"/>
          <w:iCs w:val="0"/>
          <w:color w:val="000000"/>
          <w:sz w:val="24"/>
          <w:szCs w:val="24"/>
          <w:highlight w:val="none"/>
          <w:u w:val="single"/>
          <w:lang w:val="en-US" w:eastAsia="zh-CN"/>
        </w:rPr>
        <w:t xml:space="preserve">60</w:t>
      </w:r>
      <w:r>
        <w:rPr>
          <w:rFonts w:hint="eastAsia" w:ascii="宋体" w:hAnsi="宋体" w:cs="宋体"/>
          <w:sz w:val="24"/>
          <w:szCs w:val="24"/>
          <w:highlight w:val="none"/>
        </w:rPr>
        <w:t xml:space="preserve">日历天</w:t>
      </w:r>
      <w:r>
        <w:rPr>
          <w:rFonts w:hint="eastAsia" w:hAnsi="宋体" w:eastAsia="宋体" w:cs="宋体"/>
          <w:i w:val="0"/>
          <w:iCs w:val="0"/>
          <w:color w:val="000000"/>
          <w:sz w:val="24"/>
          <w:szCs w:val="24"/>
          <w:highlight w:val="none"/>
          <w:lang w:eastAsia="zh-CN"/>
        </w:rPr>
        <w:t xml:space="preserve">。</w:t>
      </w:r>
      <w:r/>
    </w:p>
    <w:p>
      <w:pPr>
        <w:ind w:firstLine="480"/>
        <w:keepLines w:val="0"/>
        <w:keepNext w:val="0"/>
        <w:pageBreakBefore w:val="0"/>
        <w:spacing w:before="120" w:after="120"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9.2交货方式：送货上门</w:t>
      </w:r>
      <w:r>
        <w:rPr>
          <w:rFonts w:hint="eastAsia" w:ascii="宋体" w:hAnsi="宋体" w:eastAsia="宋体" w:cs="宋体"/>
          <w:color w:val="000000"/>
          <w:sz w:val="24"/>
          <w:szCs w:val="24"/>
          <w:highlight w:val="none"/>
          <w:lang w:eastAsia="zh-CN"/>
        </w:rPr>
        <w:t xml:space="preserve">。</w:t>
      </w:r>
      <w:r/>
    </w:p>
    <w:p>
      <w:pPr>
        <w:pStyle w:val="862"/>
        <w:ind w:firstLine="480"/>
        <w:keepLines w:val="0"/>
        <w:keepNext w:val="0"/>
        <w:pageBreakBefore w:val="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9.3交货地点：</w:t>
      </w:r>
      <w:r>
        <w:rPr>
          <w:rFonts w:hint="eastAsia" w:hAnsi="宋体" w:eastAsia="宋体" w:cs="宋体"/>
          <w:color w:val="000000"/>
          <w:sz w:val="24"/>
          <w:szCs w:val="24"/>
          <w:highlight w:val="none"/>
          <w:lang w:eastAsia="zh-CN"/>
        </w:rPr>
        <w:t xml:space="preserve">滨海县</w:t>
      </w:r>
      <w:r>
        <w:rPr>
          <w:rFonts w:hint="eastAsia" w:hAnsi="宋体" w:eastAsia="宋体" w:cs="宋体"/>
          <w:color w:val="000000"/>
          <w:sz w:val="24"/>
          <w:szCs w:val="24"/>
          <w:highlight w:val="none"/>
          <w:lang w:val="en-US" w:eastAsia="zh-CN"/>
        </w:rPr>
        <w:t xml:space="preserve">民兵训练基地。</w:t>
      </w:r>
      <w:r/>
    </w:p>
    <w:p>
      <w:pPr>
        <w:pStyle w:val="862"/>
        <w:ind w:firstLine="482"/>
        <w:keepLines w:val="0"/>
        <w:keepNext w:val="0"/>
        <w:pageBreakBefore w:val="0"/>
        <w:spacing w:before="120" w:after="120"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t xml:space="preserve">十、货款支付</w:t>
      </w:r>
      <w:r/>
    </w:p>
    <w:p>
      <w:pPr>
        <w:ind w:firstLine="480"/>
        <w:jc w:val="left"/>
        <w:keepLines w:val="0"/>
        <w:keepNext w:val="0"/>
        <w:pageBreakBefore w:val="0"/>
        <w:spacing w:line="360" w:lineRule="auto"/>
        <w:shd w:val="clear" w:color="auto" w:fill="ffffff"/>
        <w:widowControl/>
        <w:tabs>
          <w:tab w:val="left" w:pos="630" w:leader="none"/>
        </w:tabs>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10.1预付款支付时间：合同签订后，预付款支付比例：合同金额的30%，（中标人须提供合同总价30%的预付款银行保函）。签订合同时，乙方书面明确表示无需预付款的，甲方可不支付预付款。</w:t>
      </w:r>
      <w:r/>
    </w:p>
    <w:p>
      <w:pPr>
        <w:ind w:firstLine="480"/>
        <w:jc w:val="left"/>
        <w:keepLines w:val="0"/>
        <w:keepNext w:val="0"/>
        <w:pageBreakBefore w:val="0"/>
        <w:spacing w:line="360" w:lineRule="auto"/>
        <w:shd w:val="clear" w:color="auto" w:fill="ffffff"/>
        <w:widowControl/>
        <w:tabs>
          <w:tab w:val="left" w:pos="630" w:leader="none"/>
        </w:tabs>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10.2尾款支付时间：中标人按要求将货物送到指定地点并完成安装调试，经采购人验收全部合格后付至合同款的80%;待验收合格满一年后付至合同款的90%，验收合格满二年后付至合同款的95%;余款待验收合格满三年后结清。（如有违约扣款的，按实际情况在合同款中扣除）</w:t>
      </w:r>
      <w:r/>
    </w:p>
    <w:p>
      <w:pPr>
        <w:ind w:firstLine="480"/>
        <w:jc w:val="left"/>
        <w:keepLines w:val="0"/>
        <w:keepNext w:val="0"/>
        <w:pageBreakBefore w:val="0"/>
        <w:spacing w:line="360" w:lineRule="auto"/>
        <w:shd w:val="clear" w:color="auto" w:fill="ffffff"/>
        <w:widowControl/>
        <w:tabs>
          <w:tab w:val="left" w:pos="630" w:leader="none"/>
        </w:tabs>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10.3当采购数量与实际使用数量不一致时，乙方应根据实际使用量供货，合同的最终结算金额按实际使用量乘以成交单价进行计算。</w:t>
      </w:r>
      <w:r/>
    </w:p>
    <w:p>
      <w:pPr>
        <w:ind w:firstLine="480"/>
        <w:jc w:val="left"/>
        <w:keepLines w:val="0"/>
        <w:keepNext w:val="0"/>
        <w:pageBreakBefore w:val="0"/>
        <w:spacing w:line="360" w:lineRule="auto"/>
        <w:shd w:val="clear" w:color="auto" w:fill="ffffff"/>
        <w:widowControl/>
        <w:tabs>
          <w:tab w:val="left" w:pos="630" w:leader="none"/>
        </w:tabs>
        <w:rPr>
          <w:rFonts w:hint="eastAsia" w:ascii="宋体" w:hAnsi="宋体" w:cs="宋体" w:eastAsiaTheme="minorEastAsia"/>
          <w:b w:val="0"/>
          <w:bCs w:val="0"/>
          <w:color w:val="auto"/>
          <w:sz w:val="24"/>
          <w:szCs w:val="24"/>
          <w:highlight w:val="none"/>
          <w:lang w:eastAsia="zh-CN"/>
        </w:rPr>
      </w:pPr>
      <w:r>
        <w:rPr>
          <w:rFonts w:hint="eastAsia" w:ascii="宋体" w:hAnsi="宋体" w:cs="宋体"/>
          <w:b w:val="0"/>
          <w:bCs w:val="0"/>
          <w:color w:val="auto"/>
          <w:sz w:val="24"/>
          <w:szCs w:val="24"/>
          <w:highlight w:val="none"/>
        </w:rPr>
        <w:t xml:space="preserve">注：</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结算时，中标人须提供增值税专用发票，收到发票后10个工作日内支付。</w:t>
      </w:r>
      <w:r/>
    </w:p>
    <w:p>
      <w:pPr>
        <w:ind w:firstLine="480"/>
        <w:keepLines w:val="0"/>
        <w:keepNext w:val="0"/>
        <w:pageBreakBefore w:val="0"/>
        <w:spacing w:after="145" w:line="360" w:lineRule="auto"/>
        <w:tabs>
          <w:tab w:val="left" w:pos="900" w:leader="none"/>
        </w:tabs>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（2）乙方</w:t>
      </w:r>
      <w:r>
        <w:rPr>
          <w:rFonts w:hint="eastAsia" w:ascii="宋体" w:hAnsi="宋体" w:cs="宋体"/>
          <w:b w:val="0"/>
          <w:bCs w:val="0"/>
          <w:color w:val="auto"/>
          <w:sz w:val="24"/>
          <w:szCs w:val="24"/>
          <w:highlight w:val="none"/>
        </w:rPr>
        <w:t xml:space="preserve">在</w:t>
      </w:r>
      <w:r>
        <w:rPr>
          <w:rFonts w:hint="eastAsia" w:ascii="宋体" w:hAnsi="宋体" w:cs="宋体"/>
          <w:b w:val="0"/>
          <w:bCs w:val="0"/>
          <w:color w:val="auto"/>
          <w:sz w:val="24"/>
          <w:szCs w:val="24"/>
          <w:highlight w:val="none"/>
          <w:lang w:val="en-US" w:eastAsia="zh-CN"/>
        </w:rPr>
        <w:t xml:space="preserve">甲方</w:t>
      </w:r>
      <w:r>
        <w:rPr>
          <w:rFonts w:hint="eastAsia" w:ascii="宋体" w:hAnsi="宋体" w:cs="宋体"/>
          <w:b w:val="0"/>
          <w:bCs w:val="0"/>
          <w:color w:val="auto"/>
          <w:sz w:val="24"/>
          <w:szCs w:val="24"/>
          <w:highlight w:val="none"/>
        </w:rPr>
        <w:t xml:space="preserve">支付预付款前，必须提供预付款同等金额的银行保函，以确保甲方的资金安全。该保函必须是无条件即索即兑的银行保函，保函有效期为签订合同后</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rPr>
        <w:t xml:space="preserve">个月，保函开具行必须为</w:t>
      </w:r>
      <w:r>
        <w:rPr>
          <w:rFonts w:hint="eastAsia" w:ascii="宋体" w:hAnsi="宋体" w:cs="宋体"/>
          <w:b w:val="0"/>
          <w:bCs w:val="0"/>
          <w:color w:val="auto"/>
          <w:sz w:val="24"/>
          <w:szCs w:val="24"/>
          <w:highlight w:val="none"/>
          <w:lang w:val="en-US" w:eastAsia="zh-CN"/>
        </w:rPr>
        <w:t xml:space="preserve">甲方</w:t>
      </w:r>
      <w:r>
        <w:rPr>
          <w:rFonts w:hint="eastAsia" w:ascii="宋体" w:hAnsi="宋体" w:cs="宋体"/>
          <w:b w:val="0"/>
          <w:bCs w:val="0"/>
          <w:color w:val="auto"/>
          <w:sz w:val="24"/>
          <w:szCs w:val="24"/>
          <w:highlight w:val="none"/>
        </w:rPr>
        <w:t xml:space="preserve">指定行，且须完全符合甲方要求。如成交供应商未按上述要求在签订合同前15日内未提供银行保函，则视为成交供应商无条件放弃预付款。</w:t>
      </w:r>
      <w:r/>
    </w:p>
    <w:p>
      <w:pPr>
        <w:ind w:firstLine="482"/>
        <w:keepLines w:val="0"/>
        <w:keepNext w:val="0"/>
        <w:pageBreakBefore w:val="0"/>
        <w:spacing w:before="120" w:after="12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十一.税费</w:t>
      </w:r>
      <w:r/>
    </w:p>
    <w:p>
      <w:pPr>
        <w:ind w:left="617" w:hanging="216"/>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 本合同执行中相关的一切税费均由乙方负担。</w:t>
      </w:r>
      <w:r/>
    </w:p>
    <w:p>
      <w:pPr>
        <w:ind w:firstLine="482"/>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十二、质量保证及售后服务</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12.1 乙方应按采购文件规定的货物性能、技术要求、质量标准向甲方提供未经使用的全新产品。</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12.2 乙方提供的货物在质保期内因货物本身的质量问题发生故障，乙方应负责免费更换。对达不到技术要求者，根据实际情况，经双方协商，可按以下办法处理：                                                     </w:t>
      </w:r>
      <w:r/>
    </w:p>
    <w:p>
      <w:pPr>
        <w:ind w:left="612" w:hanging="612"/>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     ⑴ 更换：由乙方承担所发生的全部费用。                           </w:t>
      </w:r>
      <w:r/>
    </w:p>
    <w:p>
      <w:pPr>
        <w:ind w:left="612" w:hanging="612"/>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     ⑵ 贬值处理：由甲乙双方合议定价。                               </w:t>
      </w:r>
      <w:r/>
    </w:p>
    <w:p>
      <w:pPr>
        <w:ind w:left="612" w:hanging="612"/>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     ⑶ 退货处理：乙方应退还甲方支付的合同款，同时承担该货物的直接费用（运输、保险、检验、货款利息及银行手续费等）。</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12.3 如在使用过程中发生质量问题，乙方在接到甲方通知后在___小时内到达甲方现场，并在</w:t>
      </w:r>
      <w:r>
        <w:rPr>
          <w:rFonts w:hint="eastAsia" w:ascii="宋体" w:hAnsi="宋体" w:eastAsia="宋体" w:cs="宋体"/>
          <w:color w:val="000000"/>
          <w:sz w:val="24"/>
          <w:szCs w:val="24"/>
          <w:u w:val="single"/>
          <w:lang w:val="en-US" w:eastAsia="zh-CN"/>
        </w:rPr>
        <w:t xml:space="preserve">    </w:t>
      </w:r>
      <w:r>
        <w:rPr>
          <w:rFonts w:hint="eastAsia" w:ascii="宋体" w:hAnsi="宋体" w:cs="宋体"/>
          <w:color w:val="000000"/>
          <w:sz w:val="24"/>
          <w:szCs w:val="24"/>
        </w:rPr>
        <w:t xml:space="preserve">小时内解决质量及故障问题。</w:t>
      </w:r>
      <w:r/>
    </w:p>
    <w:p>
      <w:pPr>
        <w:ind w:firstLine="480"/>
        <w:keepLines w:val="0"/>
        <w:keepNext w:val="0"/>
        <w:pageBreakBefore w:val="0"/>
        <w:spacing w:before="120" w:after="120" w:line="360" w:lineRule="auto"/>
        <w:rPr>
          <w:rFonts w:hint="eastAsia" w:ascii="宋体" w:hAnsi="宋体" w:cs="宋体"/>
          <w:color w:val="auto"/>
          <w:sz w:val="24"/>
          <w:szCs w:val="24"/>
        </w:rPr>
      </w:pPr>
      <w:r>
        <w:rPr>
          <w:rFonts w:hint="eastAsia" w:ascii="宋体" w:hAnsi="宋体" w:cs="宋体"/>
          <w:color w:val="000000"/>
          <w:sz w:val="24"/>
          <w:szCs w:val="24"/>
        </w:rPr>
        <w:t xml:space="preserve">12.4 在质保期内，乙方应对货物出现的质量及安全问题负责处理解决并承担所产生的一切费用。</w:t>
      </w:r>
      <w:r/>
    </w:p>
    <w:p>
      <w:pPr>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auto"/>
          <w:sz w:val="24"/>
          <w:szCs w:val="24"/>
        </w:rPr>
        <w:t xml:space="preserve">12.5上述的货物免费保修期为</w:t>
      </w:r>
      <w:r>
        <w:rPr>
          <w:rFonts w:hint="eastAsia" w:ascii="宋体" w:hAnsi="宋体" w:cs="宋体"/>
          <w:color w:val="auto"/>
          <w:sz w:val="24"/>
          <w:szCs w:val="24"/>
          <w:u w:val="single"/>
        </w:rPr>
        <w:t xml:space="preserve">根据招投标文件要求</w:t>
      </w:r>
      <w:r>
        <w:rPr>
          <w:rFonts w:hint="eastAsia" w:ascii="宋体" w:hAnsi="宋体" w:cs="宋体"/>
          <w:color w:val="auto"/>
          <w:sz w:val="24"/>
          <w:szCs w:val="24"/>
        </w:rPr>
        <w:t xml:space="preserve">，</w:t>
      </w:r>
      <w:r>
        <w:rPr>
          <w:rFonts w:hint="eastAsia" w:ascii="宋体" w:hAnsi="宋体" w:cs="宋体"/>
          <w:color w:val="000000"/>
          <w:sz w:val="24"/>
          <w:szCs w:val="24"/>
        </w:rPr>
        <w:t xml:space="preserve">因人为因素出现的故障不在免费保修范围内。超过免费质量保修期的货物，乙方应提供终生维修（除甲方不再要求继续维修外），维修时只收部件成本费。</w:t>
      </w:r>
      <w:r/>
    </w:p>
    <w:p>
      <w:pPr>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12.6售后服务：乙方须按招标文件要求和投标文件的承诺执行。</w:t>
      </w:r>
      <w:r/>
    </w:p>
    <w:p>
      <w:pPr>
        <w:ind w:firstLine="480"/>
        <w:keepLines w:val="0"/>
        <w:keepNext w:val="0"/>
        <w:pageBreakBefore w:val="0"/>
        <w:spacing w:line="360" w:lineRule="auto"/>
        <w:rPr>
          <w:rFonts w:ascii="宋体" w:hAnsi="宋体" w:cs="宋体"/>
          <w:color w:val="ff0000"/>
          <w:sz w:val="24"/>
          <w:szCs w:val="24"/>
        </w:rPr>
      </w:pPr>
      <w:r>
        <w:rPr>
          <w:rFonts w:hint="eastAsia" w:ascii="宋体" w:hAnsi="宋体" w:cs="宋体"/>
          <w:sz w:val="24"/>
          <w:szCs w:val="24"/>
        </w:rPr>
        <w:t xml:space="preserve">12.</w:t>
      </w:r>
      <w:r>
        <w:rPr>
          <w:rFonts w:hint="eastAsia" w:ascii="宋体" w:hAnsi="宋体" w:cs="宋体"/>
          <w:sz w:val="24"/>
          <w:szCs w:val="24"/>
          <w:lang w:val="en-US" w:eastAsia="zh-CN"/>
        </w:rPr>
        <w:t xml:space="preserve">7</w:t>
      </w:r>
      <w:r>
        <w:rPr>
          <w:rFonts w:hint="eastAsia" w:ascii="宋体" w:hAnsi="宋体" w:cs="宋体"/>
          <w:sz w:val="24"/>
          <w:szCs w:val="24"/>
        </w:rPr>
        <w:t xml:space="preserve">成交供应商投标前须自行勘察现场，如设备安装运行需涉及</w:t>
      </w:r>
      <w:r>
        <w:rPr>
          <w:rFonts w:hint="eastAsia" w:ascii="宋体" w:hAnsi="宋体" w:eastAsia="宋体" w:cs="宋体"/>
          <w:sz w:val="24"/>
          <w:szCs w:val="24"/>
          <w:lang w:val="en-US" w:eastAsia="zh-CN"/>
        </w:rPr>
        <w:t xml:space="preserve">装修</w:t>
      </w:r>
      <w:r>
        <w:rPr>
          <w:rFonts w:hint="eastAsia" w:ascii="宋体" w:hAnsi="宋体" w:cs="宋体"/>
          <w:sz w:val="24"/>
          <w:szCs w:val="24"/>
        </w:rPr>
        <w:t xml:space="preserve">等前期改造，则相关一切费用均有成交供应商自行承担，并包含在投标报价中，采购人不再另外支付。如因改造导致工期延误，则视为成交供应商违约，相关违约责任由成交供应商承担，采购人有权扣除合同金额的10%作为合同违约金。</w:t>
      </w:r>
      <w:r/>
    </w:p>
    <w:p>
      <w:pPr>
        <w:ind w:firstLine="482"/>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十三、货物验收</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13.1 甲方对乙方提供的货物依据采购文件上的技术规格要求和国家有关质量标准进行验收，不满足要求或标准的不予验收。</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13.2 乙方交货前应对货物作出全面检查和对验收文件进行整理，并列出清单，作为甲方收货验收和使用的技术依据，清单应随货物交付甲方。</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13.3 对技术复杂的货物，甲方可请具有资质的专业检测机构参与验收与检测，并由其出具质量检测报告，费用由乙方承担。</w:t>
      </w:r>
      <w:r/>
    </w:p>
    <w:p>
      <w:pPr>
        <w:ind w:firstLine="482"/>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十四、货物包装、发运及运输</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14.1 乙方应在货物发运前对其进行满足运输距离、防潮、防震、防锈和防破损装卸等要求包装，以保证货物安全运达甲方指定地点。</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14.2 使用说明书、质量检验证明书、随配附件和工具以及清单一并附于货物内。</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14.3 乙方在货物发运手续办理完毕后24小时内或货到甲方48小时前通知甲方，以准备接货。</w:t>
      </w:r>
      <w:r/>
    </w:p>
    <w:p>
      <w:pPr>
        <w:ind w:left="633" w:hanging="232"/>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14.4 货物在验收合格交付甲方前所发生的所有风险由乙方承担。</w:t>
      </w:r>
      <w:r/>
    </w:p>
    <w:p>
      <w:pPr>
        <w:ind w:firstLine="482"/>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十五、违约责任</w:t>
      </w:r>
      <w:r/>
    </w:p>
    <w:p>
      <w:pPr>
        <w:ind w:left="633" w:hanging="232"/>
        <w:keepLines w:val="0"/>
        <w:keepNext w:val="0"/>
        <w:pageBreakBefore w:val="0"/>
        <w:spacing w:before="120" w:after="120" w:line="360" w:lineRule="auto"/>
        <w:widowControl w:val="off"/>
        <w:rPr>
          <w:rFonts w:ascii="宋体" w:hAnsi="宋体" w:eastAsia="Arial" w:cs="宋体"/>
          <w:color w:val="000000"/>
          <w:sz w:val="24"/>
          <w:szCs w:val="24"/>
          <w:highlight w:val="none"/>
          <w:lang w:val="en-US" w:eastAsia="zh-CN"/>
        </w:rPr>
      </w:pPr>
      <w:r>
        <w:rPr>
          <w:rFonts w:hint="eastAsia" w:ascii="宋体" w:hAnsi="宋体" w:cs="宋体"/>
          <w:color w:val="000000"/>
          <w:sz w:val="24"/>
          <w:szCs w:val="24"/>
          <w:highlight w:val="none"/>
        </w:rPr>
        <w:t xml:space="preserve">15.1</w:t>
      </w:r>
      <w:r>
        <w:rPr>
          <w:rFonts w:hint="eastAsia" w:ascii="宋体" w:hAnsi="宋体" w:cs="宋体"/>
          <w:color w:val="000000"/>
          <w:sz w:val="24"/>
          <w:szCs w:val="24"/>
          <w:highlight w:val="none"/>
          <w:lang w:val="en-US" w:eastAsia="zh-CN"/>
        </w:rPr>
        <w:t xml:space="preserve"> 逾期责任及违约金支付</w:t>
      </w:r>
      <w:r/>
    </w:p>
    <w:p>
      <w:pPr>
        <w:ind w:firstLine="480"/>
        <w:keepLines w:val="0"/>
        <w:keepNext w:val="0"/>
        <w:pageBreakBefore w:val="0"/>
        <w:spacing w:before="120" w:after="120"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1.任一单项货物逾期交付的，乙方应按每项的货物延期天数向甲方支付2000元/天的违约金。</w:t>
      </w:r>
      <w:r/>
    </w:p>
    <w:p>
      <w:pPr>
        <w:ind w:firstLine="480"/>
        <w:keepLines w:val="0"/>
        <w:keepNext w:val="0"/>
        <w:pageBreakBefore w:val="0"/>
        <w:spacing w:before="120" w:after="120"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2.合同中任一单项货物供货逾期超过</w:t>
      </w:r>
      <w:r>
        <w:rPr>
          <w:rFonts w:hint="eastAsia" w:ascii="宋体" w:hAnsi="宋体" w:cs="宋体"/>
          <w:color w:val="000000"/>
          <w:sz w:val="24"/>
          <w:szCs w:val="24"/>
          <w:highlight w:val="none"/>
          <w:u w:val="single"/>
        </w:rPr>
        <w:t xml:space="preserve">30</w:t>
      </w:r>
      <w:r>
        <w:rPr>
          <w:rFonts w:hint="eastAsia" w:ascii="宋体" w:hAnsi="宋体" w:cs="宋体"/>
          <w:color w:val="000000"/>
          <w:sz w:val="24"/>
          <w:szCs w:val="24"/>
          <w:highlight w:val="none"/>
        </w:rPr>
        <w:t xml:space="preserve">个日历天的，视为乙方严重违约，甲方有权单方面解除合同，乙方应向甲方支付项目中标金额</w:t>
      </w:r>
      <w:r>
        <w:rPr>
          <w:rFonts w:hint="eastAsia" w:ascii="宋体" w:hAnsi="宋体" w:cs="宋体"/>
          <w:color w:val="000000"/>
          <w:sz w:val="24"/>
          <w:szCs w:val="24"/>
          <w:highlight w:val="none"/>
          <w:u w:val="single"/>
        </w:rPr>
        <w:t xml:space="preserve">20%</w:t>
      </w:r>
      <w:r>
        <w:rPr>
          <w:rFonts w:hint="eastAsia" w:ascii="宋体" w:hAnsi="宋体" w:cs="宋体"/>
          <w:color w:val="000000"/>
          <w:sz w:val="24"/>
          <w:szCs w:val="24"/>
          <w:highlight w:val="none"/>
        </w:rPr>
        <w:t xml:space="preserve">的违约金。</w:t>
      </w:r>
      <w:r/>
    </w:p>
    <w:p>
      <w:pPr>
        <w:ind w:firstLine="480"/>
        <w:keepLines w:val="0"/>
        <w:keepNext w:val="0"/>
        <w:pageBreakBefore w:val="0"/>
        <w:spacing w:before="120" w:after="120"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3.违约金的支付</w:t>
      </w:r>
      <w:r/>
    </w:p>
    <w:p>
      <w:pPr>
        <w:ind w:firstLine="480"/>
        <w:keepLines w:val="0"/>
        <w:keepNext w:val="0"/>
        <w:pageBreakBefore w:val="0"/>
        <w:spacing w:before="120" w:after="120"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①违约金从履约保证金中扣除；</w:t>
      </w:r>
      <w:r/>
    </w:p>
    <w:p>
      <w:pPr>
        <w:ind w:firstLine="480"/>
        <w:keepLines w:val="0"/>
        <w:keepNext w:val="0"/>
        <w:pageBreakBefore w:val="0"/>
        <w:spacing w:before="120" w:after="120" w:line="360" w:lineRule="auto"/>
        <w:widowControl w:val="off"/>
        <w:tabs>
          <w:tab w:val="left" w:pos="103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②违约金超过履约保证金部分由应付货款中扣除；</w:t>
      </w:r>
      <w:r/>
    </w:p>
    <w:p>
      <w:pPr>
        <w:ind w:firstLine="480"/>
        <w:keepLines w:val="0"/>
        <w:keepNext w:val="0"/>
        <w:pageBreakBefore w:val="0"/>
        <w:spacing w:before="120" w:after="120"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③违约金超过应付货款的差额部分，乙方须支付差额部分，乙方拒绝支付的，甲方可向法院起诉要求乙方支付。</w:t>
      </w:r>
      <w:r/>
    </w:p>
    <w:p>
      <w:pPr>
        <w:ind w:firstLine="480"/>
        <w:keepLines w:val="0"/>
        <w:keepNext w:val="0"/>
        <w:pageBreakBefore w:val="0"/>
        <w:spacing w:before="120" w:after="120"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 乙方所交的货物品种、型号、规格、技术参数、质量不符合合同规定及采购文件规定标准的，甲方有权拒收该货物且视为乙方逾期交货，若因此产生的违约责任按照</w:t>
      </w:r>
      <w:r>
        <w:rPr>
          <w:rFonts w:hint="eastAsia" w:ascii="宋体" w:hAnsi="宋体" w:cs="宋体"/>
          <w:color w:val="000000"/>
          <w:sz w:val="24"/>
          <w:szCs w:val="24"/>
          <w:highlight w:val="none"/>
          <w:lang w:val="en-US" w:eastAsia="zh-CN"/>
        </w:rPr>
        <w:t xml:space="preserve">15.1</w:t>
      </w:r>
      <w:r>
        <w:rPr>
          <w:rFonts w:hint="eastAsia" w:ascii="宋体" w:hAnsi="宋体" w:cs="宋体"/>
          <w:color w:val="000000"/>
          <w:sz w:val="24"/>
          <w:szCs w:val="24"/>
          <w:highlight w:val="none"/>
        </w:rPr>
        <w:t xml:space="preserve">条款执行。</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15.3 质保期</w:t>
      </w:r>
      <w:r>
        <w:rPr>
          <w:rFonts w:hint="eastAsia" w:ascii="宋体" w:hAnsi="宋体"/>
          <w:sz w:val="24"/>
          <w:szCs w:val="24"/>
          <w:highlight w:val="none"/>
        </w:rPr>
        <w:t xml:space="preserve">若设备发生故障时，出现以下情况：</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15.3.1</w:t>
      </w:r>
      <w:r>
        <w:rPr>
          <w:rFonts w:hint="eastAsia" w:ascii="宋体" w:hAnsi="宋体"/>
          <w:sz w:val="24"/>
          <w:szCs w:val="24"/>
          <w:highlight w:val="none"/>
        </w:rPr>
        <w:t xml:space="preserve">.乙方未在1小时内做出电话响应或</w:t>
      </w:r>
      <w:r>
        <w:rPr>
          <w:rFonts w:hint="eastAsia" w:ascii="宋体" w:hAnsi="宋体" w:eastAsia="宋体"/>
          <w:sz w:val="24"/>
          <w:szCs w:val="24"/>
          <w:highlight w:val="none"/>
          <w:lang w:val="en-US" w:eastAsia="zh-CN"/>
        </w:rPr>
        <w:t xml:space="preserve">2</w:t>
      </w:r>
      <w:r>
        <w:rPr>
          <w:rFonts w:hint="eastAsia" w:ascii="宋体" w:hAnsi="宋体"/>
          <w:sz w:val="24"/>
          <w:szCs w:val="24"/>
          <w:highlight w:val="none"/>
        </w:rPr>
        <w:t xml:space="preserve">小时内到达现场；一般故障4小时内解决；重大故障24小时内解决；如在48小时内无法排除故障的，须免费提供原厂同等配置的备用货物以保证招标人货物的正常运行。若未能在规定的时间内进行响应和解决货物故障的，招标人有权自行处理，所产生的费用和风险由中标人承担，其费用在合同款中扣除。直至扣除全部尾款。</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15.3.2</w:t>
      </w:r>
      <w:r>
        <w:rPr>
          <w:rFonts w:hint="eastAsia" w:ascii="宋体" w:hAnsi="宋体"/>
          <w:sz w:val="24"/>
          <w:szCs w:val="24"/>
          <w:highlight w:val="none"/>
        </w:rPr>
        <w:t xml:space="preserve">.乙方在</w:t>
      </w:r>
      <w:r>
        <w:rPr>
          <w:rFonts w:hint="eastAsia" w:ascii="宋体" w:hAnsi="宋体"/>
          <w:sz w:val="24"/>
          <w:szCs w:val="24"/>
          <w:highlight w:val="none"/>
          <w:lang w:val="en-US" w:eastAsia="zh-CN"/>
        </w:rPr>
        <w:t xml:space="preserve">质保</w:t>
      </w:r>
      <w:r>
        <w:rPr>
          <w:rFonts w:hint="eastAsia" w:ascii="宋体" w:hAnsi="宋体"/>
          <w:sz w:val="24"/>
          <w:szCs w:val="24"/>
          <w:highlight w:val="none"/>
        </w:rPr>
        <w:t xml:space="preserve">过程中若造成甲方设备或任一固定资产、人员等损坏或损伤，乙方应承担全部赔偿责任，甲方有权扣除损坏或损伤对应金额的履约保证金或尾款。</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15.3.3</w:t>
      </w:r>
      <w:r>
        <w:rPr>
          <w:rFonts w:hint="eastAsia" w:ascii="宋体" w:hAnsi="宋体"/>
          <w:sz w:val="24"/>
          <w:szCs w:val="24"/>
          <w:highlight w:val="none"/>
        </w:rPr>
        <w:t xml:space="preserve">乙方未能按照甲方需求定期提供设备巡检及保养的，甲方有权按合同总额*</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%/次对乙方予以扣罚</w:t>
      </w:r>
      <w:r>
        <w:rPr>
          <w:rFonts w:hint="eastAsia" w:ascii="宋体" w:hAnsi="宋体"/>
          <w:sz w:val="24"/>
          <w:szCs w:val="24"/>
          <w:highlight w:val="none"/>
          <w:lang w:val="en-US" w:eastAsia="zh-CN"/>
        </w:rPr>
        <w:t xml:space="preserve">违约金</w:t>
      </w:r>
      <w:r>
        <w:rPr>
          <w:rFonts w:hint="eastAsia" w:ascii="宋体" w:hAnsi="宋体"/>
          <w:sz w:val="24"/>
          <w:szCs w:val="24"/>
          <w:highlight w:val="none"/>
        </w:rPr>
        <w:t xml:space="preserve">。</w:t>
      </w:r>
      <w:r/>
    </w:p>
    <w:p>
      <w:pPr>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sz w:val="24"/>
          <w:szCs w:val="24"/>
          <w:highlight w:val="none"/>
          <w:lang w:val="en-US" w:eastAsia="zh-CN"/>
        </w:rPr>
        <w:t xml:space="preserve">15.3.4</w:t>
      </w:r>
      <w:r>
        <w:rPr>
          <w:rFonts w:hint="eastAsia" w:ascii="宋体" w:hAnsi="宋体"/>
          <w:sz w:val="24"/>
          <w:szCs w:val="24"/>
          <w:highlight w:val="none"/>
        </w:rPr>
        <w:t xml:space="preserve">.如乙方更换的设备配件非原厂全新</w:t>
      </w:r>
      <w:r>
        <w:rPr>
          <w:rFonts w:hint="eastAsia" w:ascii="宋体" w:hAnsi="宋体"/>
          <w:sz w:val="24"/>
          <w:szCs w:val="24"/>
          <w:highlight w:val="none"/>
          <w:lang w:val="en-US" w:eastAsia="zh-CN"/>
        </w:rPr>
        <w:t xml:space="preserve">适</w:t>
      </w:r>
      <w:r>
        <w:rPr>
          <w:rFonts w:hint="eastAsia" w:ascii="宋体" w:hAnsi="宋体"/>
          <w:sz w:val="24"/>
          <w:szCs w:val="24"/>
          <w:highlight w:val="none"/>
        </w:rPr>
        <w:t xml:space="preserve">配件，甲方有权按合同总额*</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0%/次对乙方予以扣罚并终止合同。</w:t>
      </w:r>
      <w:r/>
    </w:p>
    <w:p>
      <w:pPr>
        <w:ind w:firstLine="482"/>
        <w:keepLines w:val="0"/>
        <w:keepNext w:val="0"/>
        <w:pageBreakBefore w:val="0"/>
        <w:spacing w:before="120" w:after="12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十六、不可抗力事件处理</w:t>
      </w:r>
      <w:r/>
    </w:p>
    <w:p>
      <w:pPr>
        <w:ind w:firstLine="480"/>
        <w:keepLines w:val="0"/>
        <w:keepNext w:val="0"/>
        <w:pageBreakBefore w:val="0"/>
        <w:spacing w:before="120"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 在合同有效期内，任何一方因不可抗力事件导致不能履行合同，则合同履行期可延长，其延长期与不可抗力影响期相同。</w:t>
      </w:r>
      <w:r/>
    </w:p>
    <w:p>
      <w:pPr>
        <w:ind w:firstLine="480"/>
        <w:keepLines w:val="0"/>
        <w:keepNext w:val="0"/>
        <w:pageBreakBefore w:val="0"/>
        <w:spacing w:before="120"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 不可抗力事件发生后，应立即通知对方，并寄送有关权威机构出具的证明。</w:t>
      </w:r>
      <w:r/>
    </w:p>
    <w:p>
      <w:pPr>
        <w:ind w:left="633" w:hanging="232"/>
        <w:keepLines w:val="0"/>
        <w:keepNext w:val="0"/>
        <w:pageBreakBefore w:val="0"/>
        <w:spacing w:before="120"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 不可抗力事件延续120天以上，甲方有权选择终止合同或继续履行合</w:t>
      </w:r>
      <w:r/>
    </w:p>
    <w:p>
      <w:pPr>
        <w:keepLines w:val="0"/>
        <w:keepNext w:val="0"/>
        <w:pageBreakBefore w:val="0"/>
        <w:spacing w:before="120"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同。</w:t>
      </w:r>
      <w:r/>
    </w:p>
    <w:p>
      <w:pPr>
        <w:ind w:firstLine="482"/>
        <w:keepLines w:val="0"/>
        <w:keepNext w:val="0"/>
        <w:pageBreakBefore w:val="0"/>
        <w:spacing w:before="120" w:after="12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十七、解决争议的方法</w:t>
      </w:r>
      <w:r/>
    </w:p>
    <w:p>
      <w:pPr>
        <w:ind w:firstLine="480"/>
        <w:keepLines w:val="0"/>
        <w:keepNext w:val="0"/>
        <w:pageBreakBefore w:val="0"/>
        <w:spacing w:before="120"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双方在执行合同中所发生的一切争议，可通过协商解决，并签订补充协议。如协商不成，可向甲方所在地人民法院提起诉讼。</w:t>
      </w:r>
      <w:r/>
    </w:p>
    <w:p>
      <w:pPr>
        <w:ind w:firstLine="482"/>
        <w:keepLines w:val="0"/>
        <w:keepNext w:val="0"/>
        <w:pageBreakBefore w:val="0"/>
        <w:spacing w:before="120" w:after="12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十八、其他</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18.1本合同所有附件、招标文件、投标文件、中标通知书及补充协议均为合同的有效组成部分，与本合同具有同等法律效力。</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18.2 如一方地址、电话、传真号码有变更，应在变更当日内书面通知对方，否则，应承担相应责任。</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18.3除甲方事先书面同意外，乙方不得部分或全部转让其应履行的合同项下的义务。</w:t>
      </w:r>
      <w:r/>
    </w:p>
    <w:p>
      <w:pPr>
        <w:ind w:firstLine="482"/>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十九、合同生效</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19.1 合同经双方法定代表人或授权委托代表人签字并加盖单位公章后生效。</w:t>
      </w:r>
      <w:r/>
    </w:p>
    <w:p>
      <w:pPr>
        <w:ind w:left="633" w:hanging="232"/>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19.2本合同未尽事宜，遵照《中华人民共和国民法典》有关条文执行。</w:t>
      </w:r>
      <w:r/>
    </w:p>
    <w:p>
      <w:pPr>
        <w:ind w:left="633" w:hanging="232"/>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19.3 本合同正本一式</w:t>
      </w:r>
      <w:r>
        <w:rPr>
          <w:rFonts w:hint="eastAsia" w:ascii="宋体" w:hAnsi="宋体" w:cs="宋体"/>
          <w:color w:val="000000"/>
          <w:sz w:val="24"/>
          <w:szCs w:val="24"/>
          <w:u w:val="single"/>
        </w:rPr>
        <w:t xml:space="preserve"> 伍 </w:t>
      </w:r>
      <w:r>
        <w:rPr>
          <w:rFonts w:hint="eastAsia" w:ascii="宋体" w:hAnsi="宋体" w:cs="宋体"/>
          <w:color w:val="000000"/>
          <w:sz w:val="24"/>
          <w:szCs w:val="24"/>
        </w:rPr>
        <w:t xml:space="preserve">份，甲、乙双方各执</w:t>
      </w:r>
      <w:r>
        <w:rPr>
          <w:rFonts w:hint="eastAsia" w:ascii="宋体" w:hAnsi="宋体" w:cs="宋体"/>
          <w:color w:val="000000"/>
          <w:sz w:val="24"/>
          <w:szCs w:val="24"/>
          <w:u w:val="single"/>
          <w:lang w:val="en-US" w:eastAsia="zh-CN"/>
        </w:rPr>
        <w:t xml:space="preserve">贰</w:t>
      </w:r>
      <w:r>
        <w:rPr>
          <w:rFonts w:hint="eastAsia" w:ascii="宋体" w:hAnsi="宋体" w:cs="宋体"/>
          <w:color w:val="000000"/>
          <w:sz w:val="24"/>
          <w:szCs w:val="24"/>
        </w:rPr>
        <w:t xml:space="preserve">份，代理公司执</w:t>
      </w:r>
      <w:r>
        <w:rPr>
          <w:rFonts w:hint="eastAsia" w:ascii="宋体" w:hAnsi="宋体" w:cs="宋体"/>
          <w:color w:val="000000"/>
          <w:sz w:val="24"/>
          <w:szCs w:val="24"/>
          <w:u w:val="single"/>
          <w:lang w:val="en-US" w:eastAsia="zh-CN"/>
        </w:rPr>
        <w:t xml:space="preserve">壹</w:t>
      </w:r>
      <w:r>
        <w:rPr>
          <w:rFonts w:hint="eastAsia" w:ascii="宋体" w:hAnsi="宋体" w:cs="宋体"/>
          <w:color w:val="000000"/>
          <w:sz w:val="24"/>
          <w:szCs w:val="24"/>
        </w:rPr>
        <w:t xml:space="preserve">份。</w:t>
      </w:r>
      <w:r/>
    </w:p>
    <w:p>
      <w:pPr>
        <w:ind w:left="479" w:hanging="24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甲方：                               乙方： </w:t>
      </w:r>
      <w:r/>
    </w:p>
    <w:p>
      <w:pPr>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  地址：                               地址： </w:t>
      </w:r>
      <w:r/>
    </w:p>
    <w:p>
      <w:pPr>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  法定代表人或授权代表：               法定代表人或授权代表：</w:t>
      </w:r>
      <w:r/>
    </w:p>
    <w:p>
      <w:pPr>
        <w:ind w:firstLine="24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联系电话：                           联系电话：          </w:t>
      </w:r>
      <w:r/>
    </w:p>
    <w:p>
      <w:pPr>
        <w:ind w:firstLine="24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240"/>
        <w:jc w:val="right"/>
        <w:keepLines w:val="0"/>
        <w:keepNext w:val="0"/>
        <w:pageBreakBefore w:val="0"/>
        <w:spacing w:line="360" w:lineRule="auto"/>
        <w:rPr>
          <w:rFonts w:hint="eastAsia" w:ascii="黑体" w:hAnsi="宋体" w:eastAsia="黑体" w:cs="黑体"/>
          <w:color w:val="000000"/>
          <w:sz w:val="44"/>
          <w:szCs w:val="44"/>
          <w:highlight w:val="none"/>
        </w:rPr>
      </w:pPr>
      <w:r>
        <w:rPr>
          <w:rFonts w:hint="eastAsia" w:ascii="宋体" w:hAnsi="宋体" w:cs="宋体"/>
          <w:color w:val="000000"/>
          <w:sz w:val="24"/>
          <w:szCs w:val="24"/>
        </w:rPr>
        <w:t xml:space="preserve">签订日期：      年    月   日</w:t>
      </w:r>
      <w:r/>
    </w:p>
    <w:p>
      <w:pPr>
        <w:pStyle w:val="846"/>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6"/>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6"/>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w:t>
      </w:r>
      <w:bookmarkEnd w:id="159"/>
      <w:r>
        <w:rPr>
          <w:rFonts w:hint="eastAsia" w:ascii="黑体" w:hAnsi="宋体" w:eastAsia="黑体" w:cs="黑体"/>
          <w:color w:val="000000"/>
          <w:sz w:val="44"/>
          <w:szCs w:val="44"/>
          <w:highlight w:val="none"/>
        </w:rPr>
        <w:t xml:space="preserve">四章 采购需求</w:t>
      </w:r>
      <w:bookmarkEnd w:id="160"/>
      <w:r/>
      <w:bookmarkEnd w:id="161"/>
      <w:r/>
      <w:bookmarkEnd w:id="162"/>
      <w:r/>
      <w:bookmarkEnd w:id="163"/>
      <w:r/>
      <w:bookmarkEnd w:id="164"/>
      <w:r/>
      <w:r/>
    </w:p>
    <w:p>
      <w:pPr>
        <w:pStyle w:val="846"/>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bookmarkStart w:id="169" w:name="_Toc26554093"/>
      <w:r/>
      <w:bookmarkStart w:id="170" w:name="_Toc49090575"/>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bookmarkEnd w:id="169"/>
      <w:r/>
      <w:bookmarkEnd w:id="170"/>
      <w:r/>
      <w:r/>
    </w:p>
    <w:p>
      <w:pPr>
        <w:pStyle w:val="846"/>
        <w:jc w:val="both"/>
        <w:keepLines w:val="0"/>
        <w:keepNext w:val="0"/>
        <w:pageBreakBefore w:val="0"/>
        <w:spacing w:beforeAutospacing="0" w:afterAutospacing="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包件一</w:t>
      </w:r>
      <w:r>
        <w:rPr>
          <w:rFonts w:hint="eastAsia" w:ascii="宋体" w:hAnsi="宋体" w:eastAsia="宋体" w:cs="宋体"/>
          <w:b/>
          <w:bCs/>
          <w:sz w:val="24"/>
          <w:szCs w:val="24"/>
          <w:highlight w:val="none"/>
        </w:rPr>
        <w:t xml:space="preserve">采购标的所属行业：</w:t>
      </w:r>
      <w:r>
        <w:rPr>
          <w:rFonts w:hint="eastAsia" w:ascii="宋体" w:hAnsi="宋体" w:eastAsia="宋体" w:cs="宋体"/>
          <w:b/>
          <w:bCs/>
          <w:sz w:val="24"/>
          <w:szCs w:val="24"/>
          <w:highlight w:val="none"/>
          <w:lang w:val="en-US" w:eastAsia="zh-CN"/>
        </w:rPr>
        <w:t xml:space="preserve">工业</w:t>
      </w:r>
      <w:r>
        <w:rPr>
          <w:rFonts w:hint="eastAsia" w:ascii="宋体" w:hAnsi="宋体" w:eastAsia="宋体" w:cs="宋体"/>
          <w:b/>
          <w:bCs/>
          <w:sz w:val="24"/>
          <w:szCs w:val="24"/>
          <w:highlight w:val="none"/>
        </w:rPr>
        <w:t xml:space="preserve">。 </w:t>
      </w:r>
      <w:r/>
    </w:p>
    <w:tbl>
      <w:tblPr>
        <w:tblStyle w:val="837"/>
        <w:tblW w:w="10178" w:type="dxa"/>
        <w:tblInd w:w="-2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4"/>
        <w:gridCol w:w="1189"/>
        <w:gridCol w:w="5793"/>
        <w:gridCol w:w="742"/>
        <w:gridCol w:w="687"/>
        <w:gridCol w:w="993"/>
      </w:tblGrid>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774" w:type="dxa"/>
            <w:vAlign w:val="center"/>
            <w:textDirection w:val="lrTb"/>
            <w:noWrap w:val="false"/>
          </w:tcPr>
          <w:p>
            <w:pPr>
              <w:jc w:val="center"/>
              <w:keepLines w:val="0"/>
              <w:keepNext w:val="0"/>
              <w:widowControl/>
              <w:rPr>
                <w:rFonts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货物名称</w:t>
            </w:r>
            <w:r/>
          </w:p>
        </w:tc>
        <w:tc>
          <w:tcPr>
            <w:shd w:val="clear" w:color="auto" w:fill="auto"/>
            <w:tcBorders>
              <w:top w:val="single" w:color="000000" w:sz="4" w:space="0"/>
              <w:left w:val="single" w:color="000000" w:sz="4" w:space="0"/>
              <w:bottom w:val="none" w:color="000000" w:sz="4" w:space="0"/>
              <w:right w:val="single" w:color="000000" w:sz="4" w:space="0"/>
            </w:tcBorders>
            <w:tcW w:w="57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t xml:space="preserve">技术参数</w:t>
            </w:r>
            <w:r/>
          </w:p>
        </w:tc>
        <w:tc>
          <w:tcPr>
            <w:shd w:val="clear" w:color="auto" w:fill="auto"/>
            <w:tcBorders>
              <w:top w:val="single" w:color="000000" w:sz="4" w:space="0"/>
              <w:left w:val="single" w:color="000000" w:sz="4" w:space="0"/>
              <w:bottom w:val="non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non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参考</w:t>
            </w:r>
            <w:r>
              <w:rPr>
                <w:rFonts w:hint="eastAsia" w:ascii="黑体" w:hAnsi="宋体" w:eastAsia="黑体" w:cs="黑体"/>
                <w:b w:val="0"/>
                <w:bCs w:val="0"/>
                <w:i w:val="0"/>
                <w:iCs w:val="0"/>
                <w:color w:val="000000"/>
                <w:sz w:val="18"/>
                <w:szCs w:val="18"/>
                <w:u w:val="none"/>
                <w:lang w:val="en-US" w:eastAsia="zh-CN" w:bidi="ar"/>
              </w:rPr>
              <w:br/>
            </w:r>
            <w:r>
              <w:rPr>
                <w:rFonts w:hint="eastAsia" w:ascii="黑体" w:hAnsi="宋体" w:eastAsia="黑体" w:cs="黑体"/>
                <w:b w:val="0"/>
                <w:bCs w:val="0"/>
                <w:i w:val="0"/>
                <w:iCs w:val="0"/>
                <w:color w:val="000000"/>
                <w:sz w:val="18"/>
                <w:szCs w:val="18"/>
                <w:u w:val="none"/>
                <w:lang w:val="en-US" w:eastAsia="zh-CN" w:bidi="ar"/>
              </w:rPr>
              <w:t xml:space="preserve">图片</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手机存放柜</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人脸识别识别技术：采用先进的 AI 深度学习算法，支持双目活体检测，有效防止照片、视频等作弊行为，识别准确率≥99.5%。</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识别速度：在光线充足条件下，单人次识别时间≤1 秒，可快速完成身份验证与柜门开启操作。</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识别角度：水平视角≥120°，垂直视角≥60°，确保不同身高、站位的用户都能准确识别。</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存储容量：人脸库容量不低于 10000 张人脸数据，满足大规模人员使用需求，且支持数据本地存储与云端备份。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通信方式：支持 4G/Wi-Fi/ 以太网等多种通信方式，可根据实际环境灵活选择，保障设备与管理平台实时稳定连接，实现远程监控与数据传输。</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输入电压：AC220V±10%，50Hz，配备电源滤波器，有效防止电压波动、电磁干扰对设备的影响。</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功率：待机功率≤30W，工作功率≤100W，节能环保，降低使用成本。</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应急开门功能：配备机械应急开锁装置与备用电源（UPS），在断电或系统故障情况下，可通过机械钥匙开启柜门；备用电源续航时间≥4 小时，确保紧急情况下正常操作。</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柜体材质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柜体采用优质冷轧钢板，厚度不低于1.2mm，表面经过酸洗、磷化、静电喷塑处理，防锈、防腐蚀能力强，涂层硬度≥2H，不易刮花、脱落。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柜门玻璃采用 8mm 厚钢化玻璃，透光率≥90%，具备良好的防爆、防碎性能，即使破碎也不会形成尖锐碎片，保障用户安全。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柜格数量：单个柜体柜格数量不少于16个，可根据需求定制；柜格尺寸（长 × 宽 × 高）不小于 180×85×46cm，满足市面上主流智能手机及配件存放。</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内部设计：柜格内部配备防滑硅胶垫，防止手机滑落、刮伤；每个柜格设置独立的充电接口（支持 Type-C、苹果 Lightning 接口及无线充电），充电功率≥10W，且具备过充、过压、短路保护功能。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散热设计：柜体背部或侧面设置散热孔，采用智能温控散热风扇，当柜内温度超过 40℃时自动启动，确保设备稳定运行。</w:t>
            </w:r>
            <w:r>
              <w:rPr>
                <w:rStyle w:val="869"/>
                <w:rFonts w:eastAsia="黑体"/>
                <w:b w:val="0"/>
                <w:bCs w:val="0"/>
                <w:sz w:val="18"/>
                <w:szCs w:val="1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33400"/>
                      <wp:effectExtent l="0" t="0" r="9525"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r/>
                            </pic:nvPicPr>
                            <pic:blipFill>
                              <a:blip r:embed="rId9"/>
                              <a:stretch/>
                            </pic:blipFill>
                            <pic:spPr bwMode="auto">
                              <a:xfrm>
                                <a:off x="0" y="0"/>
                                <a:ext cx="5238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2pt;height:42.0pt;mso-wrap-distance-left:0.0pt;mso-wrap-distance-top:0.0pt;mso-wrap-distance-right:0.0pt;mso-wrap-distance-bottom:0.0pt;" stroked="f" strokeweight="0.75pt">
                      <v:path textboxrect="0,0,0,0"/>
                      <v:imagedata r:id="rId9"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电脑</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国产化 台式机 </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1.处理器（CPU）：国产处理器主频≥2.5GHz，核心数≥6，线程数≥12，确保多任务处理流畅。  </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2.显卡：国产独立显卡 支持2k以上视频输出 。</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3.内存（ram）：≥16GB 支持扩展至 32GB。</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4.硬盘：包含512g以上固态硬盘M.2 SSD NVME。</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5.显示器：≥23.8 英寸液晶显示屏，分辨率≥1920×1080，对比度≥1000:1，响应时间≤5ms。</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6.接口配置：前置：2×USB 3.2 Gen1、耳机 / 麦克风接口；后置：4×USB 3.2 Gen1、RJ45 千兆网口、显示接口套装。</w:t>
            </w:r>
            <w:r/>
          </w:p>
          <w:p>
            <w:pPr>
              <w:jc w:val="left"/>
              <w:keepLines w:val="0"/>
              <w:keepNext w:val="0"/>
              <w:widowControl/>
              <w:rPr>
                <w:rFonts w:hint="default"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7.电源：≥300W 80PLUS 认证电源，能效转换率≥85%，稳定性符合办公设备标准。</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8.其他设备：带光驱 配套有线鼠标 有线键盘 鼠标垫。</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533400"/>
                      <wp:effectExtent l="0" t="0" r="9525" b="0"/>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7"/>
                              <pic:cNvPicPr>
                                <a:picLocks noChangeAspect="1"/>
                              </pic:cNvPicPr>
                              <pic:nvPr/>
                            </pic:nvPicPr>
                            <pic:blipFill>
                              <a:blip r:embed="rId10"/>
                              <a:stretch/>
                            </pic:blipFill>
                            <pic:spPr bwMode="auto">
                              <a:xfrm>
                                <a:off x="0" y="0"/>
                                <a:ext cx="5238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2pt;height:42.0pt;mso-wrap-distance-left:0.0pt;mso-wrap-distance-top:0.0pt;mso-wrap-distance-right:0.0pt;mso-wrap-distance-bottom:0.0pt;" stroked="f" strokeweight="0.75pt">
                      <v:path textboxrect="0,0,0,0"/>
                      <v:imagedata r:id="rId10"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highlight w:val="none"/>
                <w:u w:val="none"/>
              </w:rPr>
            </w:pPr>
            <w:r>
              <w:rPr>
                <w:rFonts w:hint="eastAsia" w:ascii="黑体" w:hAnsi="宋体" w:eastAsia="黑体" w:cs="黑体"/>
                <w:b w:val="0"/>
                <w:bCs w:val="0"/>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台式机 </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1.处理器（CPU）：处理器主频≥2.5GHz，核心数≥8，线程数≥16(英特尔12代或锐龙4以上），确保多任务处理流畅 。 </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2.显卡：独立显卡 支持2k以上视频输出（RTX5060或RX9060以上）。 </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3.内存（ram）：≥16GB 支持扩展至 32GB。</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4.硬盘：包含1T以上固态硬盘M.2 SSD NVME。</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5.显示器：≥23.8 英寸液晶显示屏，分辨率≥1920×1080，对比度≥1000:1，响应时间≤5ms。</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6.接口配置：前置：2×USB 3.2 Gen1、耳机 / 麦克风接口；后置：4×USB 3.2 Gen1、RJ45 千兆网口、显示接口套装。</w:t>
            </w:r>
            <w:r/>
          </w:p>
          <w:p>
            <w:pPr>
              <w:jc w:val="left"/>
              <w:keepLines w:val="0"/>
              <w:keepNext w:val="0"/>
              <w:widowControl/>
              <w:rPr>
                <w:rFonts w:hint="default"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7.电源：≥500W 80PLUS 认证电源，能效转换率≥85%，稳定性符合办公设备标准。</w:t>
            </w:r>
            <w:r/>
          </w:p>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8.其他设备：带光驱 配套有线鼠标 有线键盘 鼠标垫。</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523875"/>
                      <wp:effectExtent l="0" t="0" r="9525" b="9525"/>
                      <wp:docPr id="3"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IMG_258"/>
                              <pic:cNvPicPr>
                                <a:picLocks noChangeAspect="1"/>
                              </pic:cNvPicPr>
                              <pic:nvPr/>
                            </pic:nvPicPr>
                            <pic:blipFill>
                              <a:blip r:embed="rId11"/>
                              <a:stretch/>
                            </pic:blipFill>
                            <pic:spPr bwMode="auto">
                              <a:xfrm>
                                <a:off x="0" y="0"/>
                                <a:ext cx="52387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2pt;height:41.2pt;mso-wrap-distance-left:0.0pt;mso-wrap-distance-top:0.0pt;mso-wrap-distance-right:0.0pt;mso-wrap-distance-bottom:0.0pt;" stroked="f" strokeweight="0.75pt">
                      <v:path textboxrect="0,0,0,0"/>
                      <v:imagedata r:id="rId11"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碎纸机</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sz w:val="18"/>
                <w:szCs w:val="18"/>
                <w:highlight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国产化 </w:t>
            </w:r>
            <w:r>
              <w:rPr>
                <w:rFonts w:hint="eastAsia" w:ascii="黑体" w:hAnsi="宋体" w:eastAsia="黑体" w:cs="黑体"/>
                <w:b w:val="0"/>
                <w:bCs w:val="0"/>
                <w:i w:val="0"/>
                <w:iCs w:val="0"/>
                <w:color w:val="000000"/>
                <w:sz w:val="18"/>
                <w:szCs w:val="18"/>
                <w:highlight w:val="none"/>
                <w:u w:val="none"/>
                <w:lang w:val="en-US" w:eastAsia="zh-CN" w:bidi="ar"/>
              </w:rPr>
              <w:br/>
            </w:r>
            <w:r>
              <w:rPr>
                <w:rFonts w:hint="eastAsia" w:ascii="黑体" w:hAnsi="宋体" w:eastAsia="黑体" w:cs="黑体"/>
                <w:b w:val="0"/>
                <w:bCs w:val="0"/>
                <w:i w:val="0"/>
                <w:iCs w:val="0"/>
                <w:color w:val="000000"/>
                <w:sz w:val="18"/>
                <w:szCs w:val="18"/>
                <w:highlight w:val="none"/>
                <w:u w:val="none"/>
                <w:lang w:val="en-US" w:eastAsia="zh-CN" w:bidi="ar"/>
              </w:rPr>
              <w:t xml:space="preserve">1.粉碎效果：粉碎方式：超细交叉碎纸，碎纸规格≤1×5mm（达到保密等级 6 级），符合《国家秘密载体销毁管理规定》。</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2.处理能力:单次进纸量≥8 张（70g/m² A4 纸），碎纸速度≥2.5m/min，支持粉碎 A3、A4、A5 纸张及涉密光盘、U 盘。</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3.容积与尺寸:纸屑箱容积≥15L，具备密封式设计（防止纸屑外泄）；机身尺寸≤450×350×600mm。</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4.电机与防护:电机功率≥300W，支持连续碎纸≥15 分钟；具备电磁屏蔽外壳，符合 GB/T 28184 电磁兼容性标准。</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5.安全保护:进纸口红外感应防护（0.5 秒内响应停机）；双重过热保护（温度传感器 + 保险丝）、过载保护（自动反转 + 断电）。</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6.操作与管控:需密码或刷卡授权启动（支持 IC 卡身份验证），防止非授权使用；LCD 显示屏显示详细工作状态、故障代码。</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7.材质与保密设计:机身采用钢板（厚度≥1.5mm），刀具为军工级耐磨合金钢，具备防磨损涂层；纸屑箱配备电子锁，仅授权人员可开启。</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8.附加功能:粉碎涉密光盘、U 盘（需专用粉碎通道）；具备粉碎记录存储功能（时间、操作人员、粉碎量），支持数据导出。</w:t>
            </w:r>
            <w:r/>
          </w:p>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9.验收标准:到货后由采购方联合保密部门、技术部门验收，核对参数一致性、保密等级、安全功能，涉密型需现场测试粉碎效果及电磁屏蔽性能，验收合格后签署报告。</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533400"/>
                      <wp:effectExtent l="0" t="0" r="9525" b="0"/>
                      <wp:docPr id="4"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IMG_259"/>
                              <pic:cNvPicPr>
                                <a:picLocks noChangeAspect="1"/>
                              </pic:cNvPicPr>
                              <pic:nvPr/>
                            </pic:nvPicPr>
                            <pic:blipFill>
                              <a:blip r:embed="rId12"/>
                              <a:stretch/>
                            </pic:blipFill>
                            <pic:spPr bwMode="auto">
                              <a:xfrm>
                                <a:off x="0" y="0"/>
                                <a:ext cx="5238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2pt;height:42.0pt;mso-wrap-distance-left:0.0pt;mso-wrap-distance-top:0.0pt;mso-wrap-distance-right:0.0pt;mso-wrap-distance-bottom:0.0pt;" stroked="f" strokeweight="0.75pt">
                      <v:path textboxrect="0,0,0,0"/>
                      <v:imagedata r:id="rId12"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r>
            <w:r/>
          </w:p>
          <w:p>
            <w:pPr>
              <w:jc w:val="center"/>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r>
            <w:r/>
          </w:p>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打印机</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default"/>
                <w:sz w:val="18"/>
                <w:szCs w:val="18"/>
                <w:highlight w:val="none"/>
                <w:lang w:val="en-US"/>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国产化印机</w:t>
            </w:r>
            <w:r>
              <w:rPr>
                <w:rFonts w:hint="eastAsia" w:ascii="黑体" w:hAnsi="宋体" w:eastAsia="黑体" w:cs="黑体"/>
                <w:b w:val="0"/>
                <w:bCs w:val="0"/>
                <w:i w:val="0"/>
                <w:iCs w:val="0"/>
                <w:color w:val="000000"/>
                <w:sz w:val="18"/>
                <w:szCs w:val="18"/>
                <w:highlight w:val="none"/>
                <w:u w:val="none"/>
                <w:lang w:val="en-US" w:eastAsia="zh-CN" w:bidi="ar"/>
              </w:rPr>
              <w:br/>
            </w:r>
            <w:r>
              <w:rPr>
                <w:rFonts w:hint="eastAsia" w:ascii="黑体" w:hAnsi="宋体" w:eastAsia="黑体" w:cs="黑体"/>
                <w:b w:val="0"/>
                <w:bCs w:val="0"/>
                <w:i w:val="0"/>
                <w:iCs w:val="0"/>
                <w:color w:val="000000"/>
                <w:sz w:val="18"/>
                <w:szCs w:val="18"/>
                <w:highlight w:val="none"/>
                <w:u w:val="none"/>
                <w:lang w:val="en-US" w:eastAsia="zh-CN" w:bidi="ar"/>
              </w:rPr>
              <w:t xml:space="preserve">1.核心功能:支持彩色打印、彩色扫描、彩色复印、黑白打印 / 扫描 / 复印，具备自动双面打印 / 复印 / 扫描功能。</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2.打印性能:彩色打印分辨率≥1200×1200dpi，黑白打印速度≥30 页 / 分钟，彩色打印速度≥25 页 / 分钟；支持 A3、A4、A5、信封等纸张规格。</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3.扫描性能:扫描分辨率≥1200dpi（光学），扫描速度≥20 页 / 分钟（彩色）、≥25 页 / 分钟（黑白）；支持扫描至 USB 存储、电脑文件夹，扫描格式含 PDF、JPG、TIFF。</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4.复印性能:复印分辨率≥1200×1200dpi，复印缩放比例 25%-400%，支持连续复印≥99 页，具备复印分页、合并复印功能。</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5.纸张处理:标配纸盒容量≥500 页（主纸盒）+100 页（手送纸盒），最大支持纸张重量≤250g/m²；支持自动文档进纸器（ADF），容量≥50 页</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连接与操作:支持有线网络（RJ45）、USB 3.0 连接，禁用 WiFi、蓝牙等无线模块；配备≥4.3 英寸彩色触控屏，支持中文操作界面，可自定义快捷功能。</w:t>
            </w:r>
            <w:r/>
          </w:p>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6.耐用性与能耗:月打印负荷≥10 万页，硒鼓寿命≥1.5 万页（黑白）、≥1 万页（彩色）；符合国家一级能效标准，待机功耗≤10W。</w:t>
            </w:r>
            <w:r>
              <w:rPr>
                <w:rFonts w:hint="eastAsia" w:ascii="黑体" w:hAnsi="宋体" w:eastAsia="黑体" w:cs="黑体"/>
                <w:b w:val="0"/>
                <w:bCs w:val="0"/>
                <w:i w:val="0"/>
                <w:iCs w:val="0"/>
                <w:color w:val="000000"/>
                <w:sz w:val="18"/>
                <w:szCs w:val="18"/>
                <w:highlight w:val="none"/>
                <w:u w:val="none"/>
                <w:lang w:val="en-US" w:eastAsia="zh-CN" w:bidi="ar"/>
              </w:rPr>
              <w:br/>
            </w:r>
            <w:r>
              <w:rPr>
                <w:rFonts w:hint="eastAsia" w:ascii="黑体" w:hAnsi="宋体" w:eastAsia="黑体" w:cs="黑体"/>
                <w:b w:val="0"/>
                <w:bCs w:val="0"/>
                <w:i w:val="0"/>
                <w:iCs w:val="0"/>
                <w:color w:val="000000"/>
                <w:sz w:val="18"/>
                <w:szCs w:val="18"/>
                <w:highlight w:val="none"/>
                <w:u w:val="none"/>
                <w:lang w:val="en-US" w:eastAsia="zh-CN" w:bidi="ar"/>
              </w:rPr>
              <w:t xml:space="preserve">7.验收标准：到货后由采购方联合保密部门、技术部门验收，通用型核对参数一致性、打印 / 扫描 / 复印质量；涉密型需现场测试电磁屏蔽性能、数据加密效果、日志追溯功能，验收合格后签署报告。</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390525"/>
                      <wp:effectExtent l="0" t="0" r="9525" b="5715"/>
                      <wp:docPr id="5"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IMG_260"/>
                              <pic:cNvPicPr>
                                <a:picLocks noChangeAspect="1"/>
                              </pic:cNvPicPr>
                              <pic:nvPr/>
                            </pic:nvPicPr>
                            <pic:blipFill>
                              <a:blip r:embed="rId13"/>
                              <a:stretch/>
                            </pic:blipFill>
                            <pic:spPr bwMode="auto">
                              <a:xfrm>
                                <a:off x="0" y="0"/>
                                <a:ext cx="5238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2pt;height:30.8pt;mso-wrap-distance-left:0.0pt;mso-wrap-distance-top:0.0pt;mso-wrap-distance-right:0.0pt;mso-wrap-distance-bottom:0.0pt;" stroked="f" strokeweight="0.75pt">
                      <v:path textboxrect="0,0,0,0"/>
                      <v:imagedata r:id="rId13"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打印速度：黑白打印速度≥18 页 / 分钟（A4 纸），满足日常办公文档打印的基本效率需求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打印分辨率：不低于 1200×1200dpi，确保文字清晰、图表边缘平滑，满足常规办公文档的清晰度要求。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处理器与内存：配备不低于 400MHz 处理器，内存容量≥64MB，保证基础打印任务处理流畅。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打印功能：支持单页及多页连续打印，具备手动双面打印功能；支持常见的打印缩放功能，可实现 50%-200% 比例缩放打印。</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连接方式：标配 USB 2.0 接口，支持与电脑直连打印；部分型号需支持国产化操作系统适配，如统信 UOS、麒麟 OS 等，实现国产系统下的稳定打印。</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纸张容量：标配纸盒容量≥150 页（A4 纸），满足日常短时间内的打印用纸需求。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纸张类型与尺寸：支持普通 A4 纸、A5 纸、16K 纸等常见办公用纸类型，满足常规办公文档打印尺寸要求。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耗材类型：采用鼓粉分离（激光打印机）或墨盒独立（喷墨打印机）设计，降低长期使用成本；黑白硒鼓 / 墨盒打印量≥1500 页（基于 5% 覆盖率）。</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系统适配：提供针对统信 UOS、麒麟 OS 等主流国产化操作系统的驱动程序及技术支持，确保在国产系统环境下稳定运行，无兼容性问题。</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21</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47675"/>
                      <wp:effectExtent l="0" t="0" r="9525" b="9525"/>
                      <wp:docPr id="6"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IMG_261"/>
                              <pic:cNvPicPr>
                                <a:picLocks noChangeAspect="1"/>
                              </pic:cNvPicPr>
                              <pic:nvPr/>
                            </pic:nvPicPr>
                            <pic:blipFill>
                              <a:blip r:embed="rId14"/>
                              <a:stretch/>
                            </pic:blipFill>
                            <pic:spPr bwMode="auto">
                              <a:xfrm>
                                <a:off x="0" y="0"/>
                                <a:ext cx="523875"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2pt;height:35.2pt;mso-wrap-distance-left:0.0pt;mso-wrap-distance-top:0.0pt;mso-wrap-distance-right:0.0pt;mso-wrap-distance-bottom:0.0pt;" stroked="f" strokeweight="0.75pt">
                      <v:path textboxrect="0,0,0,0"/>
                      <v:imagedata r:id="rId14"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扫描仪</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1.核心功能:支持彩色扫描、黑白扫描、灰度扫描，具备自动双面扫描功能，适配 A3、A4、A5、名片、信封等多种纸张规格。</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2.扫描精度:光学分辨率≥1200dpi，插值分辨率≥4800dpi；扫描色彩深度：彩色≥48 位，灰度≥16 位，黑白 1 位，确保扫描细节清晰。</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3.扫描速度:A4 幅面彩色扫描（300dpi）速度≥30 页 / 分钟，双面扫描速度≥60 面 / 分钟；单页扫描（A4，300dpi）响应时间≤3 秒。</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4.进纸与处理:配备自动文档进纸器（ADF），容量≥50 页（70g/m² A4 纸）；支持纸张重量≤200g/m²，具备多页进纸检测、歪斜矫正功能。</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5.图像处理:支持自动色彩校正、去底色、去除装订孔、文字增强功能；可自定义扫描区域，支持批量扫描分页处理。</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6.连接与存储:支持有线网络（RJ45）、USB 3.0 连接，禁用 WiFi、蓝牙等无线模块；支持扫描至电脑文件夹、USB 存储设备，扫描格式含 PDF、JPG、TIFF、DOCX。</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7.操作与耐用性:配备≥2.4 英寸彩色触控屏，支持中文操作界面，可自定义快捷扫描模式；月扫描负荷≥1 万页，扫描模组使用寿命≥10 万次。</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8.验收标准：到货后由采购方联合技术部门验收，通用型核对扫描精度、速度及兼容性,验收合格后签署报告。</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523875"/>
                      <wp:effectExtent l="0" t="0" r="9525" b="9525"/>
                      <wp:docPr id="7"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descr="IMG_262"/>
                              <pic:cNvPicPr>
                                <a:picLocks noChangeAspect="1"/>
                              </pic:cNvPicPr>
                              <pic:nvPr/>
                            </pic:nvPicPr>
                            <pic:blipFill>
                              <a:blip r:embed="rId15"/>
                              <a:stretch/>
                            </pic:blipFill>
                            <pic:spPr bwMode="auto">
                              <a:xfrm>
                                <a:off x="0" y="0"/>
                                <a:ext cx="52387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2pt;height:41.2pt;mso-wrap-distance-left:0.0pt;mso-wrap-distance-top:0.0pt;mso-wrap-distance-right:0.0pt;mso-wrap-distance-bottom:0.0pt;" stroked="f" strokeweight="0.75pt">
                      <v:path textboxrect="0,0,0,0"/>
                      <v:imagedata r:id="rId15"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人体模型</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1.模型规格:成人比例 1:1，身高≥170cm，体重≥50kg（含底座），关节可活动（颈部、肩关节、髋关节），可模拟仰卧、侧卧姿势，底座具备防滑设计。</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2.心肺复苏功能:支持胸外按压训练：按压深度可显示（3-5cm 达标范围），具备按压力度反馈（过轻 / 过重声光提示）；按压频率可监测（100-120 次 / 分钟达标），配备电子计数器记录按压次数与达标率</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气道急救功能:可模拟开放气道（仰头抬颏法），具备可更换气道模块（含舌、会厌、气管结构）；支持人工呼吸训练，吹气时胸部可起伏（起伏幅度≥5cm），具备吹气力度检测（过强 / 过弱声光报警）。</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3.模拟生理特征:面部具备模拟肤色（接近真人肤色），可模拟瞳孔变化（正常 / 散大状态切换）；胸部、腹部为柔软材质（PU 材质，厚度≥5mm），按压时无硬物触感，模拟真实人体按压反馈。</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4.数据记录与反馈:配备≥3.5 英寸彩色显示屏，实时显示按压深度、频率、吹气达标情况；支持数据存储（≥100 组训练记录），可通过 USB 导出数据（格式为 Excel），便于训练效果分析。</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5.配件与耐用性:标配：可更换气道模块（≥3 个）、CPR 训练垫（≥2 块）、操作指南手册；表面材质耐酒精消毒（75% 乙醇擦拭无褪色、开裂），按压模块使用寿命≥15000 次。</w:t>
            </w:r>
            <w:r/>
          </w:p>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6.便携与存储:配备专用收纳箱（含滚轮），收纳后尺寸≤80×50×40cm，重量≤20kg（含模型与配件），便于训练场地转移。</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04825" cy="571500"/>
                      <wp:effectExtent l="0" t="0" r="13335" b="7620"/>
                      <wp:docPr id="8"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8" descr="IMG_263"/>
                              <pic:cNvPicPr>
                                <a:picLocks noChangeAspect="1"/>
                              </pic:cNvPicPr>
                              <pic:nvPr/>
                            </pic:nvPicPr>
                            <pic:blipFill>
                              <a:blip r:embed="rId16"/>
                              <a:stretch/>
                            </pic:blipFill>
                            <pic:spPr bwMode="auto">
                              <a:xfrm>
                                <a:off x="0" y="0"/>
                                <a:ext cx="50482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9.8pt;height:45.0pt;mso-wrap-distance-left:0.0pt;mso-wrap-distance-top:0.0pt;mso-wrap-distance-right:0.0pt;mso-wrap-distance-bottom:0.0pt;" stroked="f" strokeweight="0.75pt">
                      <v:path textboxrect="0,0,0,0"/>
                      <v:imagedata r:id="rId16"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1.模型规格:成人比例 1:1，总高度≥170cm，包含 206 块标准人体骨骼（颅骨、脊柱、胸廓、四肢骨等），骨骼总重量≤15kg，配备金属支架底座（高度可调节，范围 160-180cm），底座具备防滑垫（摩擦系数≥0.8）。</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2.解剖结构准确性:颅骨</w:t>
            </w:r>
            <w:r>
              <w:rPr>
                <w:rFonts w:hint="eastAsia" w:ascii="黑体" w:hAnsi="宋体" w:eastAsia="黑体" w:cs="黑体"/>
                <w:b w:val="0"/>
                <w:bCs w:val="0"/>
                <w:i w:val="0"/>
                <w:iCs w:val="0"/>
                <w:color w:val="000000"/>
                <w:sz w:val="18"/>
                <w:szCs w:val="18"/>
                <w:highlight w:val="none"/>
                <w:u w:val="none"/>
                <w:lang w:val="en-US" w:eastAsia="zh-CN" w:bidi="ar"/>
              </w:rPr>
              <w:t xml:space="preserve">：包含 23 块颅骨（含下颌骨可活动结构），颅缝、眼眶、鼻腔等解剖标志清晰，误差≤2mm；脊柱：由 7 节颈椎、12 节胸椎、5 节腰椎、1 块骶骨、1 块尾骨组成，椎间盘模拟结构（厚度 3-5mm，材质为弹性橡胶），可模拟脊柱生理弯曲（颈曲、胸曲、腰曲、骶曲）,胸廓：由 12 对肋骨、1 块胸骨组成，第 1-7 对真肋、8-10 对假肋、11-12 对浮肋结构完整，肋骨与胸骨、胸椎连接方式符合人体解剖学；四肢骨：肱骨、尺骨、桡骨、股骨、胫骨、腓骨等骨骼形态比例准确，关节面（如髋关节、膝关节）解剖细节清晰。</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3.功能适配性:关节活动：肩关节（可外展、旋转，活动角度 0-180°）、肘关节（可屈伸，活动角度 0-150°）、髋关节（可屈伸、外展，活动角度 0-120°）、膝关节（可屈伸，活动角度 0-135°），关节连接件为金属材质（不锈钢 304），转动顺畅无卡顿。</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4.搬运适配：脊柱部位可安装固定夹板（适配训练用脊柱板），模拟脊柱损伤患者搬运场景；骨骼可与应急救援担架适配（担架承重≥100kg，模型固定后无晃动），支持多人协同搬运训练。</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5.材质与工艺:骨骼主体采用高强度 PVC 材质（密度 1.3-1.5g/cm³），表面喷涂环保漆（符合 GB 18581 标准），颜色接近人体骨骼自然色；关节连接件为金属材质（防锈处理），螺丝固定结构（便于拆装维护）</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6.配件与标识:骨骼解剖图谱手册（彩色印刷，含 206 块骨骼名称标注）、可拆卸肌肉附着点标识贴（≥50 个）、脊柱保护套（1 套）、专用工具包（含扳手、螺丝刀各 2 把）；关键骨骼（如颈椎、股骨）表面激光雕刻名称标识（字体清晰，耐磨度≥1000 次擦拭）。</w:t>
            </w:r>
            <w:r/>
          </w:p>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7.存储与便携:配备专用收纳箱（尺寸≤180×60×40cm，材质为牛津布 + 硬质底板），收纳箱含分层隔板（用于分类存放骨骼部件），箱底配备万向轮（承重≥30kg），便于训练场地转移。</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23875"/>
                      <wp:effectExtent l="0" t="0" r="9525" b="9525"/>
                      <wp:docPr id="9"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9" descr="IMG_264"/>
                              <pic:cNvPicPr>
                                <a:picLocks noChangeAspect="1"/>
                              </pic:cNvPicPr>
                              <pic:nvPr/>
                            </pic:nvPicPr>
                            <pic:blipFill>
                              <a:blip r:embed="rId17"/>
                              <a:stretch/>
                            </pic:blipFill>
                            <pic:spPr bwMode="auto">
                              <a:xfrm>
                                <a:off x="0" y="0"/>
                                <a:ext cx="52387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2pt;height:41.2pt;mso-wrap-distance-left:0.0pt;mso-wrap-distance-top:0.0pt;mso-wrap-distance-right:0.0pt;mso-wrap-distance-bottom:0.0pt;" stroked="f" strokeweight="0.75pt">
                      <v:path textboxrect="0,0,0,0"/>
                      <v:imagedata r:id="rId1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伤情模拟套装</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1.核心组件清单：包含：①浅表创伤模块（15 套，含割伤、擦伤、挫伤，适配四肢、躯干部位）、②出血模拟模块（8 套，含动脉 / 静脉出血，支持防水操作）、③骨折固定辅助模块（5 套，含模拟骨折肢体、木质 / 塑料夹板）、④伤口护理配件包（10 套，含模拟消毒液、无菌纱布、弹性绷带）。</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2.浅表创伤模块：割伤：</w:t>
            </w:r>
            <w:r>
              <w:rPr>
                <w:rFonts w:hint="eastAsia" w:ascii="黑体" w:hAnsi="宋体" w:eastAsia="黑体" w:cs="黑体"/>
                <w:b w:val="0"/>
                <w:bCs w:val="0"/>
                <w:i w:val="0"/>
                <w:iCs w:val="0"/>
                <w:color w:val="000000"/>
                <w:sz w:val="18"/>
                <w:szCs w:val="18"/>
                <w:highlight w:val="none"/>
                <w:u w:val="none"/>
                <w:lang w:val="en-US" w:eastAsia="zh-CN" w:bidi="ar"/>
              </w:rPr>
              <w:t xml:space="preserve">伤口长度 3-10cm、深度 0.5-2.5cm，边缘呈不规则锯齿状（模拟锐器切割或堤坝碎石划伤），表面覆盖可移除模拟血凝块（露出新鲜创面，颜色呈暗红色）；擦伤：面积 5-15cm²，表面粗糙（模拟溺水时肢体与礁石摩擦损伤），可涂抹模拟组织液（无色粘稠，模拟伤口渗出） 挫伤：面积 8-20cm²，颜色分浅紫（轻度撞击）、深紫（中度挤压）、紫黑（重度碾压）三档，模拟肿胀厚度 2-6mm（按压有凹陷反馈，10 秒内恢复），配套可更换模拟皮肤贴片（每套含 8 片备用，材质为医用级硅胶，与人体皮肤贴合度≥90%）。</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3.出血模拟模块：动脉出血：配备微型防水电动泵（续航≥6 小时，支持 USB 充电），模拟血液喷射效果（喷射距离 10-25cm，流量分 3 档调节，适配不同创伤严重程度），专用模拟血液（红色，粘稠度 1.05-1.06g/cm³，接近真实血液，可水洗、无色素沉淀）；静脉出血：重力式防水设计，流量 5-12 滴 / 分钟，按压对应止血点（标注清晰）可立即停止出血   粘贴性能：背胶为医用低敏防水胶，粘贴后在潮湿环境下（模拟雨水、河水浸泡）4 小时内无脱落，移除后无残胶残留，真人 / 模型使用均无皮肤刺激。</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4.骨折固定辅助模块：模拟骨折肢体：采用高弹性 PU 材质（硬度 55-65 Shore A），长度 50-80cm（适配成人手臂 / 腿部），可模拟横形、斜形骨折（骨折缝 1-3mm，表面模拟肿胀厚度 3-5mm）；配套夹板：木质夹板（厚度 0.8-1cm，长度 30-45cm，可弯曲适配肢体曲线）、塑料夹板（厚度 0.5-0.8cm，具备透 X 线性，便于模拟骨折检查场景），固定后肢体晃动幅度≤5°。</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5.配件与耐用性：伤口护理配件：模拟消毒液（100ml / 瓶，无色无味，pH 值 6.5-7.5，对皮肤无刺激）、无菌纱布（10cm×10cm，15 片 / 包，透气性≥1000g/(㎡・24h)）、弹性绷带（宽度 5cm/8cm 各半，长度 3m，拉伸率≥250%，防水处理）；所有组件耐酒精消毒（75% 乙醇擦拭 50 次无褪色、开裂），模拟皮肤抗拉强度≥18MPa。</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6.存储与适配：配备专用防水收纳箱（尺寸 45×35×25cm，材质为 ABS 塑料 + 防水密封胶条），内部分区隔层（固定各组件，避免碰撞损坏），收纳箱重量≤4kg，可单人携带至水上救援训练场；模块可与基地已采购的基础急救型人体模型（1:1 成人比例）完美适配，粘贴后无明显缝隙。</w:t>
            </w:r>
            <w:r/>
          </w:p>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7.验收标准：由滨海县民兵训练基地联合县应急管理局、县人武部组成验收小组，现场核对组件完整性（与清单一致）、伤情模拟真实性（参照防汛、水上救援典型伤情，误差≤5%）、智能模块功能（数据采集准确率≥98%）、防水性能（浸泡测试 24 小时无故障），随机抽取不同伤情开展急救操作测试，适配性与操作流畅度达标视为验收合格。</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47675"/>
                      <wp:effectExtent l="0" t="0" r="9525" b="9525"/>
                      <wp:docPr id="10"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0" descr="IMG_265"/>
                              <pic:cNvPicPr>
                                <a:picLocks noChangeAspect="1"/>
                              </pic:cNvPicPr>
                              <pic:nvPr/>
                            </pic:nvPicPr>
                            <pic:blipFill>
                              <a:blip r:embed="rId18"/>
                              <a:stretch/>
                            </pic:blipFill>
                            <pic:spPr bwMode="auto">
                              <a:xfrm>
                                <a:off x="0" y="0"/>
                                <a:ext cx="523875"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2pt;height:35.2pt;mso-wrap-distance-left:0.0pt;mso-wrap-distance-top:0.0pt;mso-wrap-distance-right:0.0pt;mso-wrap-distance-bottom:0.0pt;" stroked="f" strokeweight="0.75pt">
                      <v:path textboxrect="0,0,0,0"/>
                      <v:imagedata r:id="rId18"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简易手术套装</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1.核心组件清单：包含：①清创工具组（10 套，含手术刀、组织剪、镊子等）、②缝合器械组（10 套，含缝合针、缝合线、持针器）、③消毒灭菌组件（20 套，含碘伏棉片、无菌纱布）、④收纳载体（10 个防水便携手术包）。</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2.清创工具组：手术刀：碳钢材质（硬度≥55 HRC），配 3 号刀柄 + 11 号、23 号刀片（各 10 片 / 套），刀片锋利度（可一次性划开 5 层纱布无卡顿）；组织剪：直头设计（长度 12cm），剪刃硬度≥50 HRC，可剪断 3mm 直径棉线无崩口；镊子：无齿镊（长度 12cm，尖端平整度误差≤0.1mm），用于夹取敷料，有齿镊（长度 14cm，尖端 3 齿）用于夹取组织。</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3.缝合器械组：缝合针：碳钢材质（硬度≥58 HRC），圆针（直径 0.3-0.5mm）、三角针（直径 0.4-0.6mm）各 5 枚 / 套，针尖锋利度（可一次性穿透 3 层模拟皮肤无弯曲）；缝合线：可吸收羊肠线（规格 2-0、3-0 各 10 根 / 套，拉力强度≥5N）、不可吸收尼龙线（规格 1-0、4-0 各 10 根 / 套，拉力强度≥8N）；持针器：长度 14cm，咬合力≥15N，夹持缝合针无滑动。</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4.消毒灭菌组件：碘伏棉片：规格 6cm×6cm，含有效碘 0.5%，灭菌有效期 2 年，独立包装（防水铝箔袋）；无菌纱布：规格 8cm×8cm，8 层结构，吸水性≥20g/g，灭菌有效期 3 年，独立密封包装；消毒棉球：医用脱脂棉材质（直径 2cm），含 75% 医用酒精，独立包装（防渗漏）</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收纳与耐用性：收纳载体防水便携手术包（尺寸 25×15×8cm，材质为牛津布 + PVC 防水涂层），内部分区隔层（固定器械，避免碰撞），配备可拆卸消毒托盘（PP 材质，耐高温 121℃）；所有器械表面镀铬处理（厚度≥0.005mm），耐酒精消毒（75% 乙醇擦拭 100 次无脱镀、锈蚀）。</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5.适配性要求：可与基地基础创伤模拟套装（浅表创伤模块）完美适配，器械尺寸适配成人 / 模型肢体操作，缝合针可穿透模拟皮肤（厚度 2-5mm）无断裂，清创工具可有效处理模拟创伤（如清除模拟血凝块、异物）。</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533400"/>
                      <wp:effectExtent l="0" t="0" r="9525" b="0"/>
                      <wp:docPr id="11"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1" descr="IMG_266"/>
                              <pic:cNvPicPr>
                                <a:picLocks noChangeAspect="1"/>
                              </pic:cNvPicPr>
                              <pic:nvPr/>
                            </pic:nvPicPr>
                            <pic:blipFill>
                              <a:blip r:embed="rId19"/>
                              <a:stretch/>
                            </pic:blipFill>
                            <pic:spPr bwMode="auto">
                              <a:xfrm>
                                <a:off x="0" y="0"/>
                                <a:ext cx="5238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2pt;height:42.0pt;mso-wrap-distance-left:0.0pt;mso-wrap-distance-top:0.0pt;mso-wrap-distance-right:0.0pt;mso-wrap-distance-bottom:0.0pt;" stroked="f" strokeweight="0.75pt">
                      <v:path textboxrect="0,0,0,0"/>
                      <v:imagedata r:id="rId19"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辅助训练器材</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卷式夹板、折叠夹板、三角巾、旋压式止血带。</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担架床</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1.核心结构：折叠方式：三折式设计（展开后尺寸≥200×60×15cm，折叠后尺寸≤70×60×18cm），重量≤8kg，单人可提拎搬运；框架材质：铝合金 6061（壁厚≥1.2mm，管径≥20mm），承重≥150kg（静态承重测试 200kg 无变形）。</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2.承载面料：高强度尼龙牛津布（密度≥600D，涂层厚度≥0.2mm），防水等级 IPX6（喷射水 3 分钟无渗漏）；抗拉强度：经向≥800N/5cm，纬向≥700N/5cm，撕裂强度≥150N；表面防污处理（污渍可水洗去除，耐摩擦测试≥500 次无起球）。</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3.功能配置，固定系统：配备 4 条可调节束缚带（宽度≥5cm，长度≥150cm，拉伸强度≥500N），带快速插扣（材质尼龙，承重≥100N）。4.辅助配件：两侧设折叠式扶手（展开后高度≥30cm，承重≥50kg），底部设 2 个万向轮（直径≥10cm，静音设计，滚动阻力≤5N）。</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5.安全性能：连接件：采用不锈钢 304 铰链（厚度≥3mm，开合次数≥10000 次无损坏），锁止机构为双重卡扣设计（展开后自动锁止，解锁需手动操作，防止意外折叠）；边缘防护：框架边角包裹 EVA 防撞条（厚度≥10mm，防撞击测试无破裂）。</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6.适配性要求：可与基地人体模型（1:1 成人比例，重量≤50kg）完美适配，承载面料可放置基础创伤模拟模块（如浅表创伤、出血模块），束缚带可固定模拟伤员肢体，无滑动偏移；可配合脊柱板使用（预留固定孔位，间距≥15cm）。</w:t>
            </w:r>
            <w:r/>
          </w:p>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7.耐用性与维护：框架表面阳极氧化处理（厚度≥10μm，盐雾测试 48 小时无锈蚀）；面料可拆卸清洗（水温≤40℃，机洗 50 次无褪色、变形）；配备专用收纳袋（尺寸≤75×65×20cm，材质防水尼龙），便于存储与运输。</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466725"/>
                      <wp:effectExtent l="0" t="0" r="9525" b="5715"/>
                      <wp:docPr id="12"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3" descr="IMG_268"/>
                              <pic:cNvPicPr>
                                <a:picLocks noChangeAspect="1"/>
                              </pic:cNvPicPr>
                              <pic:nvPr/>
                            </pic:nvPicPr>
                            <pic:blipFill>
                              <a:blip r:embed="rId20"/>
                              <a:stretch/>
                            </pic:blipFill>
                            <pic:spPr bwMode="auto">
                              <a:xfrm>
                                <a:off x="0" y="0"/>
                                <a:ext cx="523875"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2pt;height:36.8pt;mso-wrap-distance-left:0.0pt;mso-wrap-distance-top:0.0pt;mso-wrap-distance-right:0.0pt;mso-wrap-distance-bottom:0.0pt;" stroked="f" strokeweight="0.75pt">
                      <v:path textboxrect="0,0,0,0"/>
                      <v:imagedata r:id="rId20"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图板</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人体骨骼图、肌肉图、血管图</w:t>
            </w:r>
            <w:r>
              <w:rPr>
                <w:rFonts w:hint="eastAsia" w:ascii="黑体" w:hAnsi="宋体" w:eastAsia="黑体" w:cs="黑体"/>
                <w:b w:val="0"/>
                <w:bCs w:val="0"/>
                <w:i w:val="0"/>
                <w:iCs w:val="0"/>
                <w:color w:val="000000"/>
                <w:sz w:val="18"/>
                <w:szCs w:val="18"/>
                <w:highlight w:val="none"/>
                <w:u w:val="none"/>
                <w:lang w:val="en-US" w:eastAsia="zh-CN" w:bidi="ar"/>
              </w:rPr>
              <w:br/>
            </w:r>
            <w:r>
              <w:rPr>
                <w:rFonts w:hint="eastAsia" w:ascii="黑体" w:hAnsi="宋体" w:eastAsia="黑体" w:cs="黑体"/>
                <w:b w:val="0"/>
                <w:bCs w:val="0"/>
                <w:i w:val="0"/>
                <w:iCs w:val="0"/>
                <w:color w:val="000000"/>
                <w:sz w:val="18"/>
                <w:szCs w:val="18"/>
                <w:highlight w:val="none"/>
                <w:u w:val="none"/>
                <w:lang w:val="en-US" w:eastAsia="zh-CN" w:bidi="ar"/>
              </w:rPr>
              <w:t xml:space="preserve">1.图面呈现:材质：防水哑光 PVC 画布（厚度≥0.3mm，密度≥600D），涂层为环保耐磨油墨（耐摩擦测试≥1000 次无褪色）；清晰度：骨骼纹理分辨率≥300dpi，标注文字≥3 号宋体（清晰可辨），颜色还原度≥95%（与解剖标准色卡一致）。</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标注与功能:标注内容：含骨骼名称（中英文对照）、解剖位置、相邻骨骼连接关系，重点骨骼（如肱骨、股骨）标注长径数据；辅助功能：配备可擦写图层（支持水性笔标注，擦拭后无残留），用于教学重点标记。</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3.安装与适配:支架：铝合金折叠支架（壁厚≥1.2mm，管径≥15mm），承重≥5kg，展开后倾斜角度可调节（30°-90°）；适配性：可与基地基础人体模型配套使用，骨骼位置与模型骨骼重合度≥98%。</w:t>
            </w:r>
            <w:r/>
          </w:p>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4.耐用性:画布耐水浸泡（24 小时无变形、脱胶），耐高低温（-10℃-50℃环境下无开裂）；支架表面阳极氧化处理（厚度≥10μm，盐雾测试 48 小时无锈蚀），连接件开合次数≥5000 次无损。</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485775"/>
                      <wp:effectExtent l="0" t="0" r="9525" b="1905"/>
                      <wp:docPr id="13"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14" descr="IMG_269"/>
                              <pic:cNvPicPr>
                                <a:picLocks noChangeAspect="1"/>
                              </pic:cNvPicPr>
                              <pic:nvPr/>
                            </pic:nvPicPr>
                            <pic:blipFill>
                              <a:blip r:embed="rId21"/>
                              <a:stretch/>
                            </pic:blipFill>
                            <pic:spPr bwMode="auto">
                              <a:xfrm>
                                <a:off x="0" y="0"/>
                                <a:ext cx="523875"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2pt;height:38.2pt;mso-wrap-distance-left:0.0pt;mso-wrap-distance-top:0.0pt;mso-wrap-distance-right:0.0pt;mso-wrap-distance-bottom:0.0pt;" stroked="f" strokeweight="0.75pt">
                      <v:path textboxrect="0,0,0,0"/>
                      <v:imagedata r:id="rId21"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highlight w:val="none"/>
                <w:u w:val="none"/>
                <w:lang w:val="en-US"/>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展板架</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default"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1.核心结构:尺寸：适配展示物料尺寸≥200×110cm（兼容人体骨骼图），架体高度可调节（180-220cm），宽度≥110cm；框架材质：加厚铝合金 6061（壁厚≥1.5mm，管径≥25mm），静态承重≥30kg（均匀受力无变形）</w:t>
            </w:r>
            <w:r/>
          </w:p>
          <w:p>
            <w:pPr>
              <w:jc w:val="left"/>
              <w:keepLines w:val="0"/>
              <w:keepNext w:val="0"/>
              <w:widowControl/>
              <w:rPr>
                <w:rFonts w:hint="default"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2.展示面板系统:磁吸式。</w:t>
            </w:r>
            <w:r/>
          </w:p>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3.功能适配性:高度通过卡扣式调节（每档调节间距≥5cm，调节后锁止牢固），面板可前倾 5°（优化观看角度）；适配性：可与解剖教学型 / 创伤救援型骨骼图完美适配，展示图定位精度误差≤3mm。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476250"/>
                      <wp:effectExtent l="0" t="0" r="9525" b="11430"/>
                      <wp:docPr id="14"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5" descr="IMG_270"/>
                              <pic:cNvPicPr>
                                <a:picLocks noChangeAspect="1"/>
                              </pic:cNvPicPr>
                              <pic:nvPr/>
                            </pic:nvPicPr>
                            <pic:blipFill>
                              <a:blip r:embed="rId22"/>
                              <a:stretch/>
                            </pic:blipFill>
                            <pic:spPr bwMode="auto">
                              <a:xfrm>
                                <a:off x="0" y="0"/>
                                <a:ext cx="523875"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2pt;height:37.5pt;mso-wrap-distance-left:0.0pt;mso-wrap-distance-top:0.0pt;mso-wrap-distance-right:0.0pt;mso-wrap-distance-bottom:0.0pt;" stroked="f" strokeweight="0.75pt">
                      <v:path textboxrect="0,0,0,0"/>
                      <v:imagedata r:id="rId22"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打孔机</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打孔类型</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支持标准圆孔打孔，孔径需符合常用装订规格，如 6mm、8mm 等，可通过更换打孔刀具实现不同孔径的切换，满足不同装订需求。部分机型需具备中空方孔、多孔等特殊打孔功能，用于特定文件装订场景，如财务凭证装订等。</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兼容常见装订方式：如热铆装订、胶圈装订、梳式装订、夹条装订等，提供多种装订配件选择，确保能适应不同厚度和类型的文件装订。</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热铆装订需具备快速加热功能，加热时间不超过 5 分钟，铆管直径适配多种规格，装订后的文件牢固、平整，不易散开。</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单次打孔纸张厚度不低于 50 张（70g/m</w:t>
            </w:r>
            <w:r>
              <w:rPr>
                <w:rStyle w:val="863"/>
                <w:b w:val="0"/>
                <w:bCs w:val="0"/>
                <w:sz w:val="18"/>
                <w:szCs w:val="18"/>
                <w:lang w:val="en-US" w:eastAsia="zh-CN" w:bidi="ar"/>
              </w:rPr>
              <w:t xml:space="preserve">²</w:t>
            </w:r>
            <w:r>
              <w:rPr>
                <w:rStyle w:val="868"/>
                <w:b w:val="0"/>
                <w:bCs w:val="0"/>
                <w:sz w:val="18"/>
                <w:szCs w:val="18"/>
                <w:lang w:val="en-US" w:eastAsia="zh-CN" w:bidi="ar"/>
              </w:rPr>
              <w:t xml:space="preserve">），最大装订厚度不低于 50mm，满足日常办公及大型文件装订需求。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打孔速度不低于10 张/分钟，装订速度不低于5本/分钟，保证高效完成文件装订工作。</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配备清晰直观的操作面板，支持数字显示和按键操作，可预设打孔数量、装订模式等参数，方便用户快速设置。</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部分机型需支持智能化操作，如通过 USB 接口或无线连接与电脑、手机等设备配对，实现远程控制和参数设置，兼容 Windows、Mac 等主流操作系统。</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打孔位置精准，误差范围控制在 ±1mm 以内，确保文件装订后整齐美观，不会出现孔位偏移导致的装订不牢固问题。</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装订过程中，装订位置固定准确，铆管、胶圈等装订配件安装紧密，无松动、错位现象。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机身采用优质金属或高强度工程塑料材质，结构稳固，运行时无明显晃动和噪音，工作噪音不超过 60 分贝。</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关键部件如打孔刀具、装订机构等需采用耐磨、高强度材料制造，打孔刀具使用寿命不低于10万次，装订机构在正常使用情况下，三年内无需更换核心部件。</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具备完善的安全防护装置，如打孔区域防护罩、过热保护、漏电保护等，防止操作人员在使用过程中受到伤害。当防护罩打开时，机器自动停止运行，避免误操作引发安全事故。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设备外壳绝缘性能良好，符合国家相关电气安全标准，如 GB 4706.1 - 2005《家用和类似用途电器的安全 第 1 部分：通用要求》，确保使用安全。</w:t>
            </w:r>
            <w:r>
              <w:rPr>
                <w:rStyle w:val="869"/>
                <w:rFonts w:eastAsia="黑体"/>
                <w:b w:val="0"/>
                <w:bCs w:val="0"/>
                <w:sz w:val="18"/>
                <w:szCs w:val="1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95300"/>
                      <wp:effectExtent l="0" t="0" r="9525" b="7620"/>
                      <wp:docPr id="15"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6" descr="IMG_271"/>
                              <pic:cNvPicPr>
                                <a:picLocks noChangeAspect="1"/>
                              </pic:cNvPicPr>
                              <pic:nvPr/>
                            </pic:nvPicPr>
                            <pic:blipFill>
                              <a:blip r:embed="rId23"/>
                              <a:stretch/>
                            </pic:blipFill>
                            <pic:spPr bwMode="auto">
                              <a:xfrm>
                                <a:off x="0" y="0"/>
                                <a:ext cx="52387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2pt;height:39.0pt;mso-wrap-distance-left:0.0pt;mso-wrap-distance-top:0.0pt;mso-wrap-distance-right:0.0pt;mso-wrap-distance-bottom:0.0pt;" stroked="f" strokeweight="0.75pt">
                      <v:path textboxrect="0,0,0,0"/>
                      <v:imagedata r:id="rId23"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highlight w:val="none"/>
                <w:u w:val="none"/>
                <w:lang w:val="en-US"/>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图书（详见附件）</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default" w:ascii="黑体" w:hAnsi="宋体" w:eastAsia="黑体" w:cs="黑体"/>
                <w:b w:val="0"/>
                <w:bCs w:val="0"/>
                <w:i w:val="0"/>
                <w:iCs w:val="0"/>
                <w:color w:val="000000"/>
                <w:sz w:val="18"/>
                <w:szCs w:val="18"/>
                <w:highlight w:val="none"/>
                <w:u w:val="none"/>
                <w:lang w:val="en-US"/>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军事、经济、文学、法律、廉政、科学、农业，共280本。</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笔记本电脑</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1.处理器：核心数&gt;=8。</w:t>
            </w:r>
            <w:r/>
          </w:p>
          <w:p>
            <w:pPr>
              <w:jc w:val="left"/>
              <w:keepLines w:val="0"/>
              <w:keepNext w:val="0"/>
              <w:widowControl/>
              <w:rPr>
                <w:rFonts w:hint="default"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2.内存：&gt;=16g ddr4 ddr5。</w:t>
            </w:r>
            <w:r/>
          </w:p>
          <w:p>
            <w:pPr>
              <w:jc w:val="left"/>
              <w:keepLines w:val="0"/>
              <w:keepNext w:val="0"/>
              <w:widowControl/>
              <w:rPr>
                <w:rFonts w:hint="default"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3.硬盘：1T以上M.2 NVME SSD。</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4.显卡:独立显卡，性能为rtx5060或rx9060以上。</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5.续航与电源：电池容量≥50Wh，本地办公续航≥8 小时；配备 65W 便携电源适配器，重量≤300g。</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6.接口配置：2×USB 3.2 Gen1、1×HDMI 2.0、1×RJ45 千兆网口、1×3.5mm 音频接口，满足外接设备需求。</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7.机身与防护：重量≤1.5kg，厚度≤18mm，便于携带；具备 IP53 级防尘防水，适应野外复杂环境。  </w:t>
            </w:r>
            <w:r/>
          </w:p>
          <w:p>
            <w:pPr>
              <w:jc w:val="left"/>
              <w:keepLines w:val="0"/>
              <w:keepNext w:val="0"/>
              <w:widowControl/>
              <w:rPr>
                <w:rFonts w:hint="default"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8.配套设备：无线鼠标、鼠标垫。</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47675"/>
                      <wp:effectExtent l="0" t="0" r="9525" b="9525"/>
                      <wp:docPr id="16"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7" descr="IMG_272"/>
                              <pic:cNvPicPr>
                                <a:picLocks noChangeAspect="1"/>
                              </pic:cNvPicPr>
                              <pic:nvPr/>
                            </pic:nvPicPr>
                            <pic:blipFill>
                              <a:blip r:embed="rId24"/>
                              <a:stretch/>
                            </pic:blipFill>
                            <pic:spPr bwMode="auto">
                              <a:xfrm>
                                <a:off x="0" y="0"/>
                                <a:ext cx="523875"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2pt;height:35.2pt;mso-wrap-distance-left:0.0pt;mso-wrap-distance-top:0.0pt;mso-wrap-distance-right:0.0pt;mso-wrap-distance-bottom:0.0pt;" stroked="f" strokeweight="0.75pt">
                      <v:path textboxrect="0,0,0,0"/>
                      <v:imagedata r:id="rId24"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电视</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1.核心显示规格:尺寸：65 英寸（屏幕比例 16:9），分辨率≥3840×2160（4K 超高清），亮度≥350cd/㎡，对比度≥4000:1，色域覆盖率≥92% DCI-P3（色彩还原度高，适配解剖视频、教学课件展示）。</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2.硬件配置:处理器：四核 A55 及以上，内存≥2GB DDR4，存储≥16GB eMMC（支持外接 U 盘 / 硬盘扩展，最大支持 2TB）；接口：2×HDMI 2.1（支持 4K 60Hz 输入）、2×USB 3.0、1×RJ45 千兆网口。</w:t>
            </w:r>
            <w:r/>
          </w:p>
          <w:p>
            <w:pPr>
              <w:jc w:val="left"/>
              <w:keepLines w:val="0"/>
              <w:keepNext w:val="0"/>
              <w:widowControl/>
              <w:rPr>
                <w:rFonts w:hint="eastAsia" w:ascii="黑体" w:hAnsi="宋体" w:eastAsia="黑体" w:cs="黑体"/>
                <w:b w:val="0"/>
                <w:bCs w:val="0"/>
                <w:i w:val="0"/>
                <w:iCs w:val="0"/>
                <w:color w:val="000000"/>
                <w:sz w:val="18"/>
                <w:szCs w:val="18"/>
                <w:highlight w:val="green"/>
                <w:u w:val="none"/>
              </w:rPr>
              <w:suppressLineNumbers w:val="0"/>
            </w:pPr>
            <w:r>
              <w:rPr>
                <w:rFonts w:hint="eastAsia" w:ascii="黑体" w:hAnsi="宋体" w:eastAsia="黑体" w:cs="黑体"/>
                <w:b w:val="0"/>
                <w:bCs w:val="0"/>
                <w:i w:val="0"/>
                <w:iCs w:val="0"/>
                <w:color w:val="000000"/>
                <w:sz w:val="18"/>
                <w:szCs w:val="18"/>
                <w:u w:val="none"/>
                <w:lang w:val="en-US" w:eastAsia="zh-CN"/>
              </w:rPr>
              <w:t xml:space="preserve">3.安装与适配性:支持壁挂安装（提供原厂壁挂支架，承重≥50kg）、落地支架安装。</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52450"/>
                      <wp:effectExtent l="0" t="0" r="9525" b="11430"/>
                      <wp:docPr id="17"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8" descr="IMG_273"/>
                              <pic:cNvPicPr>
                                <a:picLocks noChangeAspect="1"/>
                              </pic:cNvPicPr>
                              <pic:nvPr/>
                            </pic:nvPicPr>
                            <pic:blipFill>
                              <a:blip r:embed="rId25"/>
                              <a:stretch/>
                            </pic:blipFill>
                            <pic:spPr bwMode="auto">
                              <a:xfrm>
                                <a:off x="0" y="0"/>
                                <a:ext cx="5238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2pt;height:43.5pt;mso-wrap-distance-left:0.0pt;mso-wrap-distance-top:0.0pt;mso-wrap-distance-right:0.0pt;mso-wrap-distance-bottom:0.0pt;" stroked="f" strokeweight="0.75pt">
                      <v:path textboxrect="0,0,0,0"/>
                      <v:imagedata r:id="rId25"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维修工具车</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1.工具车需具备多层收纳空间、灵活移动性能，支持工具分类存放与快速取用，同时适配潮湿、多粉尘环境，具备防水、防锈、防工具碰撞损坏的防护设计。</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2.核心结构与尺寸：展开尺寸≥120×50×90cm（长 × 宽 × 高），层板间距≥30cm（适配焊台、维修工具箱放置）；框架材质：加厚冷轧钢板（厚度≥1.2mm，屈服强度≥235MPa），表面静电喷涂处理（涂层厚度≥60μm，附着力等级 1 级，耐盐雾测试 72 小时无锈蚀）。</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3.收纳系统：收纳层数：≥4 层（含 1 层抽屉、2 层开放式层板、1 层侧挂架）；抽屉：1 个抽拉式工具柜（尺寸≥50×40×15cm，容积≥30L，配备分隔板可自定义分区，滑轨为静音滚珠滑轨，抽拉顺畅度≤30N，支持全拉式开合，带锁具防工具丢失）、</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4.开放式层板：2 层不锈钢层板（厚度≥1.5mm，承重≥50kg / 层，表面拉丝处理防刮擦，边缘折边≥2cm 防工具滑落）；侧挂架：两侧设金属挂钩（≥10 个，承重≥5kg / 个），可悬挂钳子、扳手、烙铁等常用工具，挂钩间距≥8cm 避免工具碰撞。</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5.移动与稳定性能：滚轮：4 个万向轮（直径≥12cm，材质为高弹性橡胶，耐磨系数≥0.8，使用寿命≥10000 次滚动），其中 2 个带刹车锁定功能（刹车后车轮偏移量≤2mm，防止工具车滑动）；稳定设计：底部设平衡支撑脚（可调节高度 0-5cm），不平地面使用时整车倾斜度≤3°。</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6.防护与细节设计：防水设计：抽屉内置防水胶条（IP54 级防水，防止雨水、清洁水渗入），开放式层板边缘设 5cm 高挡边（防工具滚落）；防碰撞设计：框架边角包裹 EVA 防撞条（厚度≥8mm，邵氏硬度 50±5A，减少移动时与设备的碰撞损伤）。</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7.附加功能：配备推杆（高度≥80cm，材质与框架一致，表面覆防滑橡胶套），便于单人推动；顶部设 LED 工作灯（续航≥12 小时，亮度≥300lm，支持 3 档调光，适配昏暗环境检修），灯座可 360° 旋转调节照明角度。</w:t>
            </w:r>
            <w:r/>
          </w:p>
          <w:p>
            <w:pPr>
              <w:jc w:val="left"/>
              <w:keepLines w:val="0"/>
              <w:keepNext w:val="0"/>
              <w:widowControl/>
              <w:rPr>
                <w:rFonts w:hint="default" w:ascii="黑体" w:hAnsi="宋体" w:eastAsia="黑体" w:cs="黑体"/>
                <w:b w:val="0"/>
                <w:bCs w:val="0"/>
                <w:i w:val="0"/>
                <w:iCs w:val="0"/>
                <w:color w:val="000000"/>
                <w:sz w:val="18"/>
                <w:szCs w:val="18"/>
                <w:highlight w:val="green"/>
                <w:u w:val="none"/>
                <w:lang w:val="en-US"/>
              </w:rPr>
              <w:suppressLineNumbers w:val="0"/>
            </w:pPr>
            <w:r>
              <w:rPr>
                <w:rFonts w:hint="eastAsia" w:ascii="黑体" w:hAnsi="宋体" w:eastAsia="黑体" w:cs="黑体"/>
                <w:b w:val="0"/>
                <w:bCs w:val="0"/>
                <w:i w:val="0"/>
                <w:iCs w:val="0"/>
                <w:color w:val="000000"/>
                <w:sz w:val="18"/>
                <w:szCs w:val="18"/>
                <w:u w:val="none"/>
                <w:lang w:val="en-US" w:eastAsia="zh-CN"/>
              </w:rPr>
              <w:t xml:space="preserve">8.耐用性与承重：整车静态承重≥180kg（均匀受力无变形），动态承重≥150kg（移动时无框架弯曲、滚轮损坏）；抽屉单独承重≥30kg，开放式层板单独承重≥50kg，侧挂架总承重≥20kg，所有承重部件经过 1.2 倍额定承重测试 24 小时无永久变形。</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23875"/>
                      <wp:effectExtent l="0" t="0" r="9525" b="9525"/>
                      <wp:docPr id="18"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19" descr="IMG_274"/>
                              <pic:cNvPicPr>
                                <a:picLocks noChangeAspect="1"/>
                              </pic:cNvPicPr>
                              <pic:nvPr/>
                            </pic:nvPicPr>
                            <pic:blipFill>
                              <a:blip r:embed="rId26"/>
                              <a:stretch/>
                            </pic:blipFill>
                            <pic:spPr bwMode="auto">
                              <a:xfrm>
                                <a:off x="0" y="0"/>
                                <a:ext cx="52387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2pt;height:41.2pt;mso-wrap-distance-left:0.0pt;mso-wrap-distance-top:0.0pt;mso-wrap-distance-right:0.0pt;mso-wrap-distance-bottom:0.0pt;" stroked="f" strokeweight="0.75pt">
                      <v:path textboxrect="0,0,0,0"/>
                      <v:imagedata r:id="rId26"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擦鞋机</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9"/>
                <w:rFonts w:eastAsia="黑体"/>
                <w:b w:val="0"/>
                <w:bCs w:val="0"/>
                <w:sz w:val="18"/>
                <w:szCs w:val="18"/>
                <w:highlight w:val="none"/>
                <w:lang w:val="en-US" w:eastAsia="zh-CN" w:bidi="ar"/>
              </w:rPr>
              <w:suppressLineNumbers w:val="0"/>
            </w:pPr>
            <w:r>
              <w:rPr>
                <w:rStyle w:val="868"/>
                <w:rFonts w:hint="eastAsia"/>
                <w:b w:val="0"/>
                <w:bCs w:val="0"/>
                <w:sz w:val="18"/>
                <w:szCs w:val="18"/>
                <w:highlight w:val="none"/>
                <w:lang w:val="en-US" w:eastAsia="zh-CN" w:bidi="ar"/>
              </w:rPr>
              <w:t xml:space="preserve">1.</w:t>
            </w:r>
            <w:r>
              <w:rPr>
                <w:rStyle w:val="868"/>
                <w:b w:val="0"/>
                <w:bCs w:val="0"/>
                <w:sz w:val="18"/>
                <w:szCs w:val="18"/>
                <w:highlight w:val="none"/>
                <w:lang w:val="en-US" w:eastAsia="zh-CN" w:bidi="ar"/>
              </w:rPr>
              <w:t xml:space="preserve">尺寸规格：90*53*30cm，电压AC220V/50Hz，具备良好的电压稳定性，能适应电压 ±10% 的波动范围正常工作。</w:t>
            </w:r>
            <w:r>
              <w:rPr>
                <w:rStyle w:val="869"/>
                <w:rFonts w:eastAsia="黑体"/>
                <w:b w:val="0"/>
                <w:bCs w:val="0"/>
                <w:sz w:val="18"/>
                <w:szCs w:val="18"/>
                <w:highlight w:val="none"/>
                <w:lang w:val="en-US" w:eastAsia="zh-CN" w:bidi="ar"/>
              </w:rPr>
              <w:t xml:space="preserve">​</w:t>
            </w:r>
            <w:r/>
          </w:p>
          <w:p>
            <w:pPr>
              <w:numPr>
                <w:ilvl w:val="0"/>
                <w:numId w:val="0"/>
              </w:numPr>
              <w:jc w:val="left"/>
              <w:keepLines w:val="0"/>
              <w:keepNext w:val="0"/>
              <w:widowControl/>
              <w:rPr>
                <w:rStyle w:val="868"/>
                <w:b w:val="0"/>
                <w:bCs w:val="0"/>
                <w:sz w:val="18"/>
                <w:szCs w:val="18"/>
                <w:highlight w:val="none"/>
                <w:lang w:val="en-US" w:eastAsia="zh-CN" w:bidi="ar"/>
              </w:rPr>
              <w:suppressLineNumbers w:val="0"/>
            </w:pPr>
            <w:r>
              <w:rPr>
                <w:rStyle w:val="868"/>
                <w:rFonts w:hint="eastAsia"/>
                <w:b w:val="0"/>
                <w:bCs w:val="0"/>
                <w:sz w:val="18"/>
                <w:szCs w:val="18"/>
                <w:highlight w:val="none"/>
                <w:lang w:val="en-US" w:eastAsia="zh-CN" w:bidi="ar"/>
              </w:rPr>
              <w:t xml:space="preserve">2.</w:t>
            </w:r>
            <w:r>
              <w:rPr>
                <w:rStyle w:val="868"/>
                <w:b w:val="0"/>
                <w:bCs w:val="0"/>
                <w:sz w:val="18"/>
                <w:szCs w:val="18"/>
                <w:highlight w:val="none"/>
                <w:lang w:val="en-US" w:eastAsia="zh-CN" w:bidi="ar"/>
              </w:rPr>
              <w:t xml:space="preserve">功率消耗：≤100W，高效节能，降低使用成本。</w:t>
            </w:r>
            <w:r/>
          </w:p>
          <w:p>
            <w:pPr>
              <w:numPr>
                <w:ilvl w:val="0"/>
                <w:numId w:val="0"/>
              </w:numPr>
              <w:jc w:val="left"/>
              <w:keepLines w:val="0"/>
              <w:keepNext w:val="0"/>
              <w:widowControl/>
              <w:rPr>
                <w:rStyle w:val="868"/>
                <w:b w:val="0"/>
                <w:bCs w:val="0"/>
                <w:sz w:val="18"/>
                <w:szCs w:val="18"/>
                <w:highlight w:val="none"/>
                <w:lang w:val="en-US" w:eastAsia="zh-CN" w:bidi="ar"/>
              </w:rPr>
              <w:suppressLineNumbers w:val="0"/>
            </w:pPr>
            <w:r>
              <w:rPr>
                <w:rStyle w:val="868"/>
                <w:rFonts w:hint="eastAsia"/>
                <w:b w:val="0"/>
                <w:bCs w:val="0"/>
                <w:sz w:val="18"/>
                <w:szCs w:val="18"/>
                <w:highlight w:val="none"/>
                <w:lang w:val="en-US" w:eastAsia="zh-CN" w:bidi="ar"/>
              </w:rPr>
              <w:t xml:space="preserve">3.</w:t>
            </w:r>
            <w:r>
              <w:rPr>
                <w:rStyle w:val="868"/>
                <w:b w:val="0"/>
                <w:bCs w:val="0"/>
                <w:sz w:val="18"/>
                <w:szCs w:val="18"/>
                <w:highlight w:val="none"/>
                <w:lang w:val="en-US" w:eastAsia="zh-CN" w:bidi="ar"/>
              </w:rPr>
              <w:t xml:space="preserve">电机性能采用特种间歇式免烧坏电机，当温度达到 110℃以上时，能自动停机保护，待冷却至正常温度后可继续工作，转速：1100 - 1200 转 / 分，确保高效擦鞋效果。</w:t>
            </w:r>
            <w:r/>
          </w:p>
          <w:p>
            <w:pPr>
              <w:numPr>
                <w:ilvl w:val="0"/>
                <w:numId w:val="0"/>
              </w:numPr>
              <w:jc w:val="left"/>
              <w:keepLines w:val="0"/>
              <w:keepNext w:val="0"/>
              <w:widowControl/>
              <w:rPr>
                <w:rStyle w:val="868"/>
                <w:b w:val="0"/>
                <w:bCs w:val="0"/>
                <w:sz w:val="18"/>
                <w:szCs w:val="18"/>
                <w:highlight w:val="none"/>
                <w:lang w:val="en-US" w:eastAsia="zh-CN" w:bidi="ar"/>
              </w:rPr>
              <w:suppressLineNumbers w:val="0"/>
            </w:pPr>
            <w:r>
              <w:rPr>
                <w:rStyle w:val="868"/>
                <w:rFonts w:hint="eastAsia"/>
                <w:b w:val="0"/>
                <w:bCs w:val="0"/>
                <w:sz w:val="18"/>
                <w:szCs w:val="18"/>
                <w:highlight w:val="none"/>
                <w:lang w:val="en-US" w:eastAsia="zh-CN" w:bidi="ar"/>
              </w:rPr>
              <w:t xml:space="preserve">4.</w:t>
            </w:r>
            <w:r>
              <w:rPr>
                <w:rStyle w:val="868"/>
                <w:b w:val="0"/>
                <w:bCs w:val="0"/>
                <w:sz w:val="18"/>
                <w:szCs w:val="18"/>
                <w:highlight w:val="none"/>
                <w:lang w:val="en-US" w:eastAsia="zh-CN" w:bidi="ar"/>
              </w:rPr>
              <w:t xml:space="preserve">感应系统：数字式红外线感应，具备高灵敏度，实现伸脚即开、抽脚即停功能，感应距离范围为10 - 30 厘米，可根据实际需求进行微调。</w:t>
            </w:r>
            <w:r>
              <w:rPr>
                <w:rStyle w:val="868"/>
                <w:rFonts w:hint="eastAsia"/>
                <w:b w:val="0"/>
                <w:bCs w:val="0"/>
                <w:sz w:val="18"/>
                <w:szCs w:val="18"/>
                <w:highlight w:val="none"/>
                <w:lang w:val="en-US" w:eastAsia="zh-CN" w:bidi="ar"/>
              </w:rPr>
              <w:t xml:space="preserve">5.</w:t>
            </w:r>
            <w:r>
              <w:rPr>
                <w:rStyle w:val="868"/>
                <w:b w:val="0"/>
                <w:bCs w:val="0"/>
                <w:sz w:val="18"/>
                <w:szCs w:val="18"/>
                <w:highlight w:val="none"/>
                <w:lang w:val="en-US" w:eastAsia="zh-CN" w:bidi="ar"/>
              </w:rPr>
              <w:t xml:space="preserve">油杯容积：≥100ml，减少添加鞋油频率。</w:t>
            </w:r>
            <w:r/>
          </w:p>
          <w:p>
            <w:pPr>
              <w:numPr>
                <w:ilvl w:val="0"/>
                <w:numId w:val="0"/>
              </w:numPr>
              <w:jc w:val="left"/>
              <w:keepLines w:val="0"/>
              <w:keepNext w:val="0"/>
              <w:widowControl/>
              <w:rPr>
                <w:rStyle w:val="868"/>
                <w:b w:val="0"/>
                <w:bCs w:val="0"/>
                <w:sz w:val="18"/>
                <w:szCs w:val="18"/>
                <w:highlight w:val="none"/>
                <w:lang w:val="en-US" w:eastAsia="zh-CN" w:bidi="ar"/>
              </w:rPr>
              <w:suppressLineNumbers w:val="0"/>
            </w:pPr>
            <w:r>
              <w:rPr>
                <w:rStyle w:val="868"/>
                <w:rFonts w:hint="eastAsia"/>
                <w:b w:val="0"/>
                <w:bCs w:val="0"/>
                <w:sz w:val="18"/>
                <w:szCs w:val="18"/>
                <w:highlight w:val="none"/>
                <w:lang w:val="en-US" w:eastAsia="zh-CN" w:bidi="ar"/>
              </w:rPr>
              <w:t xml:space="preserve">6.</w:t>
            </w:r>
            <w:r>
              <w:rPr>
                <w:rStyle w:val="868"/>
                <w:b w:val="0"/>
                <w:bCs w:val="0"/>
                <w:sz w:val="18"/>
                <w:szCs w:val="18"/>
                <w:highlight w:val="none"/>
                <w:lang w:val="en-US" w:eastAsia="zh-CN" w:bidi="ar"/>
              </w:rPr>
              <w:t xml:space="preserve">鞋油类型：配备擦鞋机专用无色高档鞋油，适用于各种材质和颜色的鞋类，不损伤鞋面，且具有良好的上光、养护效果。</w:t>
            </w:r>
            <w:r/>
          </w:p>
          <w:p>
            <w:pPr>
              <w:numPr>
                <w:ilvl w:val="0"/>
                <w:numId w:val="0"/>
              </w:num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Style w:val="868"/>
                <w:rFonts w:hint="eastAsia"/>
                <w:b w:val="0"/>
                <w:bCs w:val="0"/>
                <w:sz w:val="18"/>
                <w:szCs w:val="18"/>
                <w:highlight w:val="none"/>
                <w:lang w:val="en-US" w:eastAsia="zh-CN" w:bidi="ar"/>
              </w:rPr>
              <w:t xml:space="preserve">7.</w:t>
            </w:r>
            <w:r>
              <w:rPr>
                <w:rStyle w:val="868"/>
                <w:b w:val="0"/>
                <w:bCs w:val="0"/>
                <w:sz w:val="18"/>
                <w:szCs w:val="18"/>
                <w:highlight w:val="none"/>
                <w:lang w:val="en-US" w:eastAsia="zh-CN" w:bidi="ar"/>
              </w:rPr>
              <w:t xml:space="preserve">噪音控制：运行过程中噪音系数≤50dB，营造安静舒适的使用环境。</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8.</w:t>
            </w:r>
            <w:r>
              <w:rPr>
                <w:rStyle w:val="868"/>
                <w:b w:val="0"/>
                <w:bCs w:val="0"/>
                <w:sz w:val="18"/>
                <w:szCs w:val="18"/>
                <w:highlight w:val="none"/>
                <w:lang w:val="en-US" w:eastAsia="zh-CN" w:bidi="ar"/>
              </w:rPr>
              <w:t xml:space="preserve">外壳材质：主体外壳采用不锈钢或钛金材质，厚度不低于 1.0mm。不锈钢材质需具备良好的防锈、耐腐蚀性能；钛金材质表面工艺精致，色泽亮丽，耐磨且不易变形，确保长期使用不变色、不损坏。</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9.</w:t>
            </w:r>
            <w:r>
              <w:rPr>
                <w:rStyle w:val="868"/>
                <w:b w:val="0"/>
                <w:bCs w:val="0"/>
                <w:sz w:val="18"/>
                <w:szCs w:val="18"/>
                <w:highlight w:val="none"/>
                <w:lang w:val="en-US" w:eastAsia="zh-CN" w:bidi="ar"/>
              </w:rPr>
              <w:t xml:space="preserve">内部结构材质：内部支撑结构采用高强度金属材质，如铝合金或优质钢材，保证机器结构稳固，能承受频繁使用。</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10.</w:t>
            </w:r>
            <w:r>
              <w:rPr>
                <w:rStyle w:val="868"/>
                <w:b w:val="0"/>
                <w:bCs w:val="0"/>
                <w:sz w:val="18"/>
                <w:szCs w:val="18"/>
                <w:highlight w:val="none"/>
                <w:lang w:val="en-US" w:eastAsia="zh-CN" w:bidi="ar"/>
              </w:rPr>
              <w:t xml:space="preserve">毛刷：采用柔软有弹性的纤维材质毛刷，具有良好的吸附鞋油和抛光效果，且不会对鞋面造成刮擦损伤。毛刷直径不小于 15cm，长度适中，保证全面覆盖鞋面。</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11.</w:t>
            </w:r>
            <w:r>
              <w:rPr>
                <w:rStyle w:val="868"/>
                <w:b w:val="0"/>
                <w:bCs w:val="0"/>
                <w:sz w:val="18"/>
                <w:szCs w:val="18"/>
                <w:highlight w:val="none"/>
                <w:lang w:val="en-US" w:eastAsia="zh-CN" w:bidi="ar"/>
              </w:rPr>
              <w:t xml:space="preserve">地垫：内置高档防滑地垫，材质为橡胶或其他防滑性能优良的材料，尺寸与擦鞋机底部适配，确保使用过程中机器稳定不滑动，同时起到保护地面的作用。</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12.</w:t>
            </w:r>
            <w:r>
              <w:rPr>
                <w:rStyle w:val="868"/>
                <w:b w:val="0"/>
                <w:bCs w:val="0"/>
                <w:sz w:val="18"/>
                <w:szCs w:val="18"/>
                <w:highlight w:val="none"/>
                <w:lang w:val="en-US" w:eastAsia="zh-CN" w:bidi="ar"/>
              </w:rPr>
              <w:t xml:space="preserve">自动功能：具备自动抛光、自动除尘、自动上油功能，无需人工干预，操作简便，能快速恢复鞋子光泽，去除灰尘和污渍。</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b w:val="0"/>
                <w:bCs w:val="0"/>
                <w:sz w:val="18"/>
                <w:szCs w:val="18"/>
                <w:highlight w:val="none"/>
                <w:lang w:val="en-US" w:eastAsia="zh-CN" w:bidi="ar"/>
              </w:rPr>
              <w:t xml:space="preserve">除电机过热自动保护外，还应具备漏电保护功能，当发生漏电情况时，能在 0.1 秒内切断电源，保障使用者安全。</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b w:val="0"/>
                <w:bCs w:val="0"/>
                <w:sz w:val="18"/>
                <w:szCs w:val="18"/>
                <w:highlight w:val="none"/>
                <w:lang w:val="en-US" w:eastAsia="zh-CN" w:bidi="ar"/>
              </w:rPr>
              <w:t xml:space="preserve">机器运行时，若有异物进入工作区域，能自动停止运行，避免意外发</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13.</w:t>
            </w:r>
            <w:r>
              <w:rPr>
                <w:rStyle w:val="868"/>
                <w:b w:val="0"/>
                <w:bCs w:val="0"/>
                <w:sz w:val="18"/>
                <w:szCs w:val="18"/>
                <w:highlight w:val="none"/>
                <w:lang w:val="en-US" w:eastAsia="zh-CN" w:bidi="ar"/>
              </w:rPr>
              <w:t xml:space="preserve">外观颜色：金色</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14.</w:t>
            </w:r>
            <w:r>
              <w:rPr>
                <w:rStyle w:val="868"/>
                <w:b w:val="0"/>
                <w:bCs w:val="0"/>
                <w:sz w:val="18"/>
                <w:szCs w:val="18"/>
                <w:highlight w:val="none"/>
                <w:lang w:val="en-US" w:eastAsia="zh-CN" w:bidi="ar"/>
              </w:rPr>
              <w:t xml:space="preserve">细节设计：机器表面光滑无瑕疵，边角处进行圆润处理，避免使用者磕碰受伤。</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47675" cy="571500"/>
                      <wp:effectExtent l="0" t="0" r="9525" b="7620"/>
                      <wp:docPr id="19"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0" descr="IMG_275"/>
                              <pic:cNvPicPr>
                                <a:picLocks noChangeAspect="1"/>
                              </pic:cNvPicPr>
                              <pic:nvPr/>
                            </pic:nvPicPr>
                            <pic:blipFill>
                              <a:blip r:embed="rId27"/>
                              <a:stretch/>
                            </pic:blipFill>
                            <pic:spPr bwMode="auto">
                              <a:xfrm>
                                <a:off x="0" y="0"/>
                                <a:ext cx="44767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35.2pt;height:45.0pt;mso-wrap-distance-left:0.0pt;mso-wrap-distance-top:0.0pt;mso-wrap-distance-right:0.0pt;mso-wrap-distance-bottom:0.0pt;" stroked="f" strokeweight="0.75pt">
                      <v:path textboxrect="0,0,0,0"/>
                      <v:imagedata r:id="rId2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热水壶</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Style w:val="868"/>
                <w:rFonts w:hint="eastAsia"/>
                <w:b w:val="0"/>
                <w:bCs w:val="0"/>
                <w:sz w:val="18"/>
                <w:szCs w:val="18"/>
                <w:highlight w:val="none"/>
                <w:lang w:val="en-US" w:eastAsia="zh-CN" w:bidi="ar"/>
              </w:rPr>
              <w:t xml:space="preserve">1.</w:t>
            </w:r>
            <w:r>
              <w:rPr>
                <w:rStyle w:val="868"/>
                <w:b w:val="0"/>
                <w:bCs w:val="0"/>
                <w:sz w:val="18"/>
                <w:szCs w:val="18"/>
                <w:highlight w:val="none"/>
                <w:lang w:val="en-US" w:eastAsia="zh-CN" w:bidi="ar"/>
              </w:rPr>
              <w:t xml:space="preserve">额定容量为 2L，实际容量误差范围在 ±5% 以内，满足多人饮水需求 。</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2.</w:t>
            </w:r>
            <w:r>
              <w:rPr>
                <w:rStyle w:val="868"/>
                <w:b w:val="0"/>
                <w:bCs w:val="0"/>
                <w:sz w:val="18"/>
                <w:szCs w:val="18"/>
                <w:highlight w:val="none"/>
                <w:lang w:val="en-US" w:eastAsia="zh-CN" w:bidi="ar"/>
              </w:rPr>
              <w:t xml:space="preserve">尺寸：壶身高度不超过 28cm，直径不超过 22cm，整体设计紧凑，便于放置与收纳。壶嘴高度需确保倒水流畅，壶盖开启角度不小于 90°，方便注水与清洁。</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3.</w:t>
            </w:r>
            <w:r>
              <w:rPr>
                <w:rStyle w:val="868"/>
                <w:b w:val="0"/>
                <w:bCs w:val="0"/>
                <w:sz w:val="18"/>
                <w:szCs w:val="18"/>
                <w:highlight w:val="none"/>
                <w:lang w:val="en-US" w:eastAsia="zh-CN" w:bidi="ar"/>
              </w:rPr>
              <w:t xml:space="preserve">壶身：采用食品级 304 不锈钢材质，符合 GB 4806.9-2016《食品安全国家标准食品接触用金属材料及制品》标准，厚度不小于 0.6mm，表面光滑无划痕、无毛刺，耐腐蚀、易清洁，且具有良好的保温性能。</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4.</w:t>
            </w:r>
            <w:r>
              <w:rPr>
                <w:rStyle w:val="868"/>
                <w:b w:val="0"/>
                <w:bCs w:val="0"/>
                <w:sz w:val="18"/>
                <w:szCs w:val="18"/>
                <w:highlight w:val="none"/>
                <w:lang w:val="en-US" w:eastAsia="zh-CN" w:bidi="ar"/>
              </w:rPr>
              <w:t xml:space="preserve">壶盖：内侧为食品级硅胶密封垫，无毒无味，耐高温（最高耐受温度不低于 200℃），密封性能良好，确保烧水过程中无漏水、漏气现象；外侧材质可选用食品级 PP 塑料或与壶身相同的不锈钢材质，表面质感细腻，防烫处理到位。</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5.</w:t>
            </w:r>
            <w:r>
              <w:rPr>
                <w:rStyle w:val="868"/>
                <w:b w:val="0"/>
                <w:bCs w:val="0"/>
                <w:sz w:val="18"/>
                <w:szCs w:val="18"/>
                <w:highlight w:val="none"/>
                <w:lang w:val="en-US" w:eastAsia="zh-CN" w:bidi="ar"/>
              </w:rPr>
              <w:t xml:space="preserve">发热盘：采用不锈钢或铸铝材质，表面经过特殊处理，防腐蚀、防结垢；发热盘与壶身连接紧密，确保热量高效传导。</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6.</w:t>
            </w:r>
            <w:r>
              <w:rPr>
                <w:rStyle w:val="868"/>
                <w:b w:val="0"/>
                <w:bCs w:val="0"/>
                <w:sz w:val="18"/>
                <w:szCs w:val="18"/>
                <w:highlight w:val="none"/>
                <w:lang w:val="en-US" w:eastAsia="zh-CN" w:bidi="ar"/>
              </w:rPr>
              <w:t xml:space="preserve">加热功能：额定功率为 1800 - 2200W，在常温（25℃）下，将 2L水烧开时间不超过8分钟；具备快速加热技术，能在短时间内达到沸腾状态，节省能源与时间。</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7.</w:t>
            </w:r>
            <w:r>
              <w:rPr>
                <w:rStyle w:val="868"/>
                <w:b w:val="0"/>
                <w:bCs w:val="0"/>
                <w:sz w:val="18"/>
                <w:szCs w:val="18"/>
                <w:highlight w:val="none"/>
                <w:lang w:val="en-US" w:eastAsia="zh-CN" w:bidi="ar"/>
              </w:rPr>
              <w:t xml:space="preserve">配备自动断电保护装置，水烧开后或干烧时，能在3秒内自动切断电源，防止意外发生。</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8.</w:t>
            </w:r>
            <w:r>
              <w:rPr>
                <w:rStyle w:val="868"/>
                <w:b w:val="0"/>
                <w:bCs w:val="0"/>
                <w:sz w:val="18"/>
                <w:szCs w:val="18"/>
                <w:highlight w:val="none"/>
                <w:lang w:val="en-US" w:eastAsia="zh-CN" w:bidi="ar"/>
              </w:rPr>
              <w:t xml:space="preserve">具有防烫手柄，采用隔热材料，表面纹理设计增加摩擦力，握持舒适，即使在热水壶工作过程中，手柄表面温度不超过 50℃，避免烫伤。</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9.</w:t>
            </w:r>
            <w:r>
              <w:rPr>
                <w:rStyle w:val="868"/>
                <w:b w:val="0"/>
                <w:bCs w:val="0"/>
                <w:sz w:val="18"/>
                <w:szCs w:val="18"/>
                <w:highlight w:val="none"/>
                <w:lang w:val="en-US" w:eastAsia="zh-CN" w:bidi="ar"/>
              </w:rPr>
              <w:t xml:space="preserve">壶底设置防滑硅胶垫，放置稳固，防止热水壶在加热过程中滑动。</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10.</w:t>
            </w:r>
            <w:r>
              <w:rPr>
                <w:rStyle w:val="868"/>
                <w:b w:val="0"/>
                <w:bCs w:val="0"/>
                <w:sz w:val="18"/>
                <w:szCs w:val="18"/>
                <w:highlight w:val="none"/>
                <w:lang w:val="en-US" w:eastAsia="zh-CN" w:bidi="ar"/>
              </w:rPr>
              <w:t xml:space="preserve">热水壶需通过国家强制性产品认证（CCC 认证），符合 GB 4706.1-2005《家用和类似用途电器的安全 通用要求》及 GB 4706.19-2008《家用和类似用途电器的安全 液体加热器的特殊要求》标准。</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11.</w:t>
            </w:r>
            <w:r>
              <w:rPr>
                <w:rStyle w:val="868"/>
                <w:b w:val="0"/>
                <w:bCs w:val="0"/>
                <w:sz w:val="18"/>
                <w:szCs w:val="18"/>
                <w:highlight w:val="none"/>
                <w:lang w:val="en-US" w:eastAsia="zh-CN" w:bidi="ar"/>
              </w:rPr>
              <w:t xml:space="preserve">绝缘电阻≥10MΩ，接地电阻≤0.1Ω，确保用电安全；电源线长度不小于 75cm，线径符合国家标准，具备良好的柔韧性与耐磨性。</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85775"/>
                      <wp:effectExtent l="0" t="0" r="9525" b="1905"/>
                      <wp:docPr id="20"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21" descr="IMG_276"/>
                              <pic:cNvPicPr>
                                <a:picLocks noChangeAspect="1"/>
                              </pic:cNvPicPr>
                              <pic:nvPr/>
                            </pic:nvPicPr>
                            <pic:blipFill>
                              <a:blip r:embed="rId28"/>
                              <a:stretch/>
                            </pic:blipFill>
                            <pic:spPr bwMode="auto">
                              <a:xfrm>
                                <a:off x="0" y="0"/>
                                <a:ext cx="523875"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2pt;height:38.2pt;mso-wrap-distance-left:0.0pt;mso-wrap-distance-top:0.0pt;mso-wrap-distance-right:0.0pt;mso-wrap-distance-bottom:0.0pt;" stroked="f" strokeweight="0.75pt">
                      <v:path textboxrect="0,0,0,0"/>
                      <v:imagedata r:id="rId28"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焊台</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1.含热风枪、电烙铁，焊台需具备精准温控、快速升温功能，满足基础电子元件（如电阻、电容、接线端子）焊接操作，同时适配野外临时维修场景，支持便携移动与安全防护（防烫、防漏电）。</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2.核心性能：温控范围：200℃-480℃（调节精度 ±5℃），升温时间≤30 秒（从室温升至 350℃）；功率：额定功率 60W-80W（适配 220V/50Hz 市电，支持宽电压 110V-240V，适配野外临时供电。</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3.加热系统：陶瓷发热芯（使用寿命≥500 小时，热效率≥85%），烙铁芯与烙铁头连接方式为插拔式（便于快速更换）；烙铁头：纯铜材质 + 镀镍涂层（型号含尖头、平头、斜口各 1 个，硬度≥HV120，耐磨损，焊锡附着性好）。</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4.操作与显示：控制面板：配备旋钮式温控调节（档位清晰，每档温差≤10℃），LED 数码管显示（温度显示精度 ±1℃，支持实时温度监测）；待机功能：闲置≥10 分钟自动进入待机模式（温度降至 200℃以下），按任意键唤醒，节能且防烫伤。</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5.安全防护：防漏电保护：接地电阻≤0.1Ω，绝缘电阻≥100MΩ（耐压 3750V/1 分钟无击穿）；防烫设计：烙铁手柄为耐高温硅胶材质（耐温≥200℃），机身底部设防烫脚垫（高度≥10mm，隔热性能好，放置时桌面温度≤40℃）；过载保护：电流超过额定值 1.2 倍时自动断电，故障指示灯亮起。   </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6.辅助工具：焊锡吸取器：手动式（吸力≥0.5MPa，可吸取直径≤2mm 的焊锡，材质为耐温塑料 + 金属，使用寿命≥1000 次吸取操作）；镊子：防静电镊子（尖头，材质不锈钢，表面防静电涂层，电阻值 10⁶-10¹¹Ω，适配电子元件夹持）</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7.清洁与维护配件：烙铁头清洁器：金属海绵清洁座（配备耐高温海绵，吸水后可清洁烙铁头残留焊锡，海绵更换周期≥30 次清洁）；焊锡渣收集盒：小型金属盒（容量≥50ml，带盖设计，防止焊锡渣散落，适配野外维修时垃圾收纳）。</w:t>
            </w:r>
            <w:r/>
          </w:p>
          <w:p>
            <w:pPr>
              <w:jc w:val="left"/>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8.适配性要求：所有配件需适配焊台主体：烙铁头可兼容基地常用电子设备焊接（如电视机线路板焊点、传感器接线端子），焊锡丝熔点适配铜、铁等金属材质焊接，助焊剂可用于基地训练系统线路接头防氧化处理，确保焊接牢固度（焊点拉力≥5N）。</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14350" cy="571500"/>
                      <wp:effectExtent l="0" t="0" r="3810" b="7620"/>
                      <wp:docPr id="21"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2" descr="IMG_277"/>
                              <pic:cNvPicPr>
                                <a:picLocks noChangeAspect="1"/>
                              </pic:cNvPicPr>
                              <pic:nvPr/>
                            </pic:nvPicPr>
                            <pic:blipFill>
                              <a:blip r:embed="rId29"/>
                              <a:stretch/>
                            </pic:blipFill>
                            <pic:spPr bwMode="auto">
                              <a:xfrm>
                                <a:off x="0" y="0"/>
                                <a:ext cx="5143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0.5pt;height:45.0pt;mso-wrap-distance-left:0.0pt;mso-wrap-distance-top:0.0pt;mso-wrap-distance-right:0.0pt;mso-wrap-distance-bottom:0.0pt;" stroked="f" strokeweight="0.75pt">
                      <v:path textboxrect="0,0,0,0"/>
                      <v:imagedata r:id="rId29"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焊锡丝</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1.基础焊接配件：松香芯焊锡丝（直径 0.8mm，长度 100m，含锡量≥63%，熔点 183℃，焊接后焊点光亮、无虚焊）。</w:t>
            </w:r>
            <w:r/>
          </w:p>
          <w:p>
            <w:pPr>
              <w:numPr>
                <w:ilvl w:val="0"/>
                <w:numId w:val="0"/>
              </w:num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2.助焊剂：中性助焊剂（50ml / 瓶，无腐蚀性，焊接后残留易清洗，符合 RoHS 环保标准）。</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维修工具</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Style w:val="868"/>
                <w:rFonts w:hAnsi="宋体"/>
                <w:b w:val="0"/>
                <w:bCs w:val="0"/>
                <w:sz w:val="18"/>
                <w:szCs w:val="18"/>
                <w:highlight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1.42 件套需涵盖 “拆装工具 + 测量工具 + 焊接辅助工具 + 线路检测工具 + 辅助工具” 五大类，满足基础螺丝拆装、螺栓紧固、线路检测</w:t>
            </w:r>
            <w:r>
              <w:rPr>
                <w:rStyle w:val="868"/>
                <w:rFonts w:hint="eastAsia" w:hAnsi="宋体"/>
                <w:b w:val="0"/>
                <w:bCs w:val="0"/>
                <w:sz w:val="18"/>
                <w:szCs w:val="18"/>
                <w:highlight w:val="none"/>
                <w:lang w:val="en-US" w:eastAsia="zh-CN" w:bidi="ar"/>
              </w:rPr>
              <w:t xml:space="preserve">、焊后清洁等全流程维护操作，适配教学区、实训中心、野外训练场多场景使用。</w:t>
            </w:r>
            <w:r>
              <w:rPr>
                <w:rStyle w:val="868"/>
                <w:rFonts w:hAnsi="宋体"/>
                <w:b w:val="0"/>
                <w:bCs w:val="0"/>
                <w:sz w:val="18"/>
                <w:szCs w:val="18"/>
                <w:highlight w:val="none"/>
                <w:lang w:val="en-US" w:eastAsia="zh-CN" w:bidi="ar"/>
              </w:rPr>
              <w:t xml:space="preserve">螺丝刀组</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一字：3mm（杆长 100mm）、5mm（杆长 120mm）；十字：PH1（杆长 100mm）、PH2（杆长 120mm）、PH3（杆长 150mm）</w:t>
            </w:r>
            <w:r/>
          </w:p>
          <w:p>
            <w:pPr>
              <w:jc w:val="left"/>
              <w:keepLines w:val="0"/>
              <w:keepNext w:val="0"/>
              <w:widowControl/>
              <w:rPr>
                <w:rStyle w:val="868"/>
                <w:rFonts w:hAnsi="宋体"/>
                <w:b w:val="0"/>
                <w:bCs w:val="0"/>
                <w:sz w:val="18"/>
                <w:szCs w:val="18"/>
                <w:highlight w:val="none"/>
                <w:lang w:val="en-US" w:eastAsia="zh-CN" w:bidi="ar"/>
              </w:rPr>
              <w:suppressLineNumbers w:val="0"/>
            </w:pPr>
            <w:r>
              <w:rPr>
                <w:rStyle w:val="868"/>
                <w:rFonts w:hAnsi="宋体"/>
                <w:b w:val="0"/>
                <w:bCs w:val="0"/>
                <w:sz w:val="18"/>
                <w:szCs w:val="18"/>
                <w:highlight w:val="none"/>
                <w:lang w:val="en-US" w:eastAsia="zh-CN" w:bidi="ar"/>
              </w:rPr>
              <w:t xml:space="preserve">内六角扳手组</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规格：1.5mm、2mm、2.5mm、3mm、4mm、5mm、6mm（杆长 80-120mm，对应规格递增）。</w:t>
            </w:r>
            <w:r/>
          </w:p>
          <w:p>
            <w:pPr>
              <w:jc w:val="left"/>
              <w:keepLines w:val="0"/>
              <w:keepNext w:val="0"/>
              <w:widowControl/>
              <w:rPr>
                <w:rStyle w:val="868"/>
                <w:rFonts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2.</w:t>
            </w:r>
            <w:r>
              <w:rPr>
                <w:rStyle w:val="868"/>
                <w:rFonts w:hAnsi="宋体"/>
                <w:b w:val="0"/>
                <w:bCs w:val="0"/>
                <w:sz w:val="18"/>
                <w:szCs w:val="18"/>
                <w:highlight w:val="none"/>
                <w:lang w:val="en-US" w:eastAsia="zh-CN" w:bidi="ar"/>
              </w:rPr>
              <w:t xml:space="preserve">扳手组</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开口扳手：8-10mm、12-14mm；梅花扳手：10-12mm、14-17mm。</w:t>
            </w:r>
            <w:r>
              <w:rPr>
                <w:rStyle w:val="868"/>
                <w:rFonts w:hint="eastAsia" w:hAnsi="宋体"/>
                <w:b w:val="0"/>
                <w:bCs w:val="0"/>
                <w:sz w:val="18"/>
                <w:szCs w:val="18"/>
                <w:highlight w:val="none"/>
                <w:lang w:val="en-US" w:eastAsia="zh-CN" w:bidi="ar"/>
              </w:rPr>
              <w:t xml:space="preserve">3.</w:t>
            </w:r>
            <w:r>
              <w:rPr>
                <w:rStyle w:val="868"/>
                <w:rFonts w:hAnsi="宋体"/>
                <w:b w:val="0"/>
                <w:bCs w:val="0"/>
                <w:sz w:val="18"/>
                <w:szCs w:val="18"/>
                <w:highlight w:val="none"/>
                <w:lang w:val="en-US" w:eastAsia="zh-CN" w:bidi="ar"/>
              </w:rPr>
              <w:t xml:space="preserve">套筒扳手：10mm（配 100mm 延长杆）。</w:t>
            </w:r>
            <w:r/>
          </w:p>
          <w:p>
            <w:pPr>
              <w:jc w:val="left"/>
              <w:keepLines w:val="0"/>
              <w:keepNext w:val="0"/>
              <w:widowControl/>
              <w:rPr>
                <w:rStyle w:val="868"/>
                <w:rFonts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4.</w:t>
            </w:r>
            <w:r>
              <w:rPr>
                <w:rStyle w:val="868"/>
                <w:rFonts w:hAnsi="宋体"/>
                <w:b w:val="0"/>
                <w:bCs w:val="0"/>
                <w:sz w:val="18"/>
                <w:szCs w:val="18"/>
                <w:highlight w:val="none"/>
                <w:lang w:val="en-US" w:eastAsia="zh-CN" w:bidi="ar"/>
              </w:rPr>
              <w:t xml:space="preserve">钳子组</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尖嘴钳（160mm）、斜口钳（160mm）、钢丝钳（180mm）。</w:t>
            </w:r>
            <w:r/>
          </w:p>
          <w:p>
            <w:pPr>
              <w:jc w:val="left"/>
              <w:keepLines w:val="0"/>
              <w:keepNext w:val="0"/>
              <w:widowControl/>
              <w:rPr>
                <w:rStyle w:val="868"/>
                <w:rFonts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5.</w:t>
            </w:r>
            <w:r>
              <w:rPr>
                <w:rStyle w:val="868"/>
                <w:rFonts w:hAnsi="宋体"/>
                <w:b w:val="0"/>
                <w:bCs w:val="0"/>
                <w:sz w:val="18"/>
                <w:szCs w:val="18"/>
                <w:highlight w:val="none"/>
                <w:lang w:val="en-US" w:eastAsia="zh-CN" w:bidi="ar"/>
              </w:rPr>
              <w:t xml:space="preserve">钢卷尺</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长度 3m，宽度 12mm，精度 ±1mm。</w:t>
            </w:r>
            <w:r/>
          </w:p>
          <w:p>
            <w:pPr>
              <w:jc w:val="left"/>
              <w:keepLines w:val="0"/>
              <w:keepNext w:val="0"/>
              <w:widowControl/>
              <w:rPr>
                <w:rStyle w:val="868"/>
                <w:rFonts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6.</w:t>
            </w:r>
            <w:r>
              <w:rPr>
                <w:rStyle w:val="868"/>
                <w:rFonts w:hAnsi="宋体"/>
                <w:b w:val="0"/>
                <w:bCs w:val="0"/>
                <w:sz w:val="18"/>
                <w:szCs w:val="18"/>
                <w:highlight w:val="none"/>
                <w:lang w:val="en-US" w:eastAsia="zh-CN" w:bidi="ar"/>
              </w:rPr>
              <w:t xml:space="preserve">显测电笔</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检测范围 12-250V，带 LED 声光报警。</w:t>
            </w:r>
            <w:r/>
          </w:p>
          <w:p>
            <w:pPr>
              <w:jc w:val="left"/>
              <w:keepLines w:val="0"/>
              <w:keepNext w:val="0"/>
              <w:widowControl/>
              <w:rPr>
                <w:rStyle w:val="868"/>
                <w:rFonts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7.</w:t>
            </w:r>
            <w:r>
              <w:rPr>
                <w:rStyle w:val="868"/>
                <w:rFonts w:hAnsi="宋体"/>
                <w:b w:val="0"/>
                <w:bCs w:val="0"/>
                <w:sz w:val="18"/>
                <w:szCs w:val="18"/>
                <w:highlight w:val="none"/>
                <w:lang w:val="en-US" w:eastAsia="zh-CN" w:bidi="ar"/>
              </w:rPr>
              <w:t xml:space="preserve">水平仪</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长度 150mm，气泡精度 ±0.5mm/m，带水平、垂直、45° 三向检测。</w:t>
            </w:r>
            <w:r/>
          </w:p>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Style w:val="868"/>
                <w:rFonts w:hint="eastAsia" w:hAnsi="宋体"/>
                <w:b w:val="0"/>
                <w:bCs w:val="0"/>
                <w:sz w:val="18"/>
                <w:szCs w:val="18"/>
                <w:highlight w:val="none"/>
                <w:lang w:val="en-US" w:eastAsia="zh-CN" w:bidi="ar"/>
              </w:rPr>
              <w:t xml:space="preserve">8.</w:t>
            </w:r>
            <w:r>
              <w:rPr>
                <w:rStyle w:val="868"/>
                <w:rFonts w:hAnsi="宋体"/>
                <w:b w:val="0"/>
                <w:bCs w:val="0"/>
                <w:sz w:val="18"/>
                <w:szCs w:val="18"/>
                <w:highlight w:val="none"/>
                <w:lang w:val="en-US" w:eastAsia="zh-CN" w:bidi="ar"/>
              </w:rPr>
              <w:t xml:space="preserve">游标卡尺</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量程 150mm，精度 0.02mm，带深度测量功能。</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495300"/>
                      <wp:effectExtent l="0" t="0" r="9525" b="7620"/>
                      <wp:docPr id="22"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3" descr="IMG_278"/>
                              <pic:cNvPicPr>
                                <a:picLocks noChangeAspect="1"/>
                              </pic:cNvPicPr>
                              <pic:nvPr/>
                            </pic:nvPicPr>
                            <pic:blipFill>
                              <a:blip r:embed="rId30"/>
                              <a:stretch/>
                            </pic:blipFill>
                            <pic:spPr bwMode="auto">
                              <a:xfrm>
                                <a:off x="0" y="0"/>
                                <a:ext cx="52387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1.2pt;height:39.0pt;mso-wrap-distance-left:0.0pt;mso-wrap-distance-top:0.0pt;mso-wrap-distance-right:0.0pt;mso-wrap-distance-bottom:0.0pt;" stroked="f" strokeweight="0.75pt">
                      <v:path textboxrect="0,0,0,0"/>
                      <v:imagedata r:id="rId30" o:title=""/>
                    </v:shape>
                  </w:pict>
                </mc:Fallback>
              </mc:AlternateContent>
            </w:r>
            <w:r/>
          </w:p>
        </w:tc>
      </w:tr>
      <w:tr>
        <w:trPr>
          <w:trHeight w:val="361"/>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万用表</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Style w:val="868"/>
                <w:rFonts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1.</w:t>
            </w:r>
            <w:r>
              <w:rPr>
                <w:rStyle w:val="868"/>
                <w:rFonts w:hAnsi="宋体"/>
                <w:b w:val="0"/>
                <w:bCs w:val="0"/>
                <w:sz w:val="18"/>
                <w:szCs w:val="18"/>
                <w:highlight w:val="none"/>
                <w:lang w:val="en-US" w:eastAsia="zh-CN" w:bidi="ar"/>
              </w:rPr>
              <w:t xml:space="preserve">万象表需具备电压、电流、电阻、电容、二极管等多参数测量功能，满足基础电路通断检测、元件好坏判断、线路故障排查等操作。</w:t>
            </w:r>
            <w:r/>
          </w:p>
          <w:p>
            <w:pPr>
              <w:jc w:val="left"/>
              <w:keepLines w:val="0"/>
              <w:keepNext w:val="0"/>
              <w:widowControl/>
              <w:rPr>
                <w:rStyle w:val="868"/>
                <w:rFonts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2.</w:t>
            </w:r>
            <w:r>
              <w:rPr>
                <w:rStyle w:val="868"/>
                <w:rFonts w:hAnsi="宋体"/>
                <w:b w:val="0"/>
                <w:bCs w:val="0"/>
                <w:sz w:val="18"/>
                <w:szCs w:val="18"/>
                <w:highlight w:val="none"/>
                <w:lang w:val="en-US" w:eastAsia="zh-CN" w:bidi="ar"/>
              </w:rPr>
              <w:t xml:space="preserve">显示与操作</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LCD 背光屏（尺寸≥35×25mm，显示位数 40000 字），支持数据保持、最大值 / 最小值锁定；操作方式：按键式（硅胶按键，寿命≥10 万次按压），带量程自动 / 手动切换，误操作保护（量程选错时无损坏）。</w:t>
            </w:r>
            <w:r/>
          </w:p>
          <w:p>
            <w:pPr>
              <w:jc w:val="left"/>
              <w:keepLines w:val="0"/>
              <w:keepNext w:val="0"/>
              <w:widowControl/>
              <w:rPr>
                <w:rStyle w:val="868"/>
                <w:rFonts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3.</w:t>
            </w:r>
            <w:r>
              <w:rPr>
                <w:rStyle w:val="868"/>
                <w:rFonts w:hAnsi="宋体"/>
                <w:b w:val="0"/>
                <w:bCs w:val="0"/>
                <w:sz w:val="18"/>
                <w:szCs w:val="18"/>
                <w:highlight w:val="none"/>
                <w:lang w:val="en-US" w:eastAsia="zh-CN" w:bidi="ar"/>
              </w:rPr>
              <w:t xml:space="preserve">安全防护</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安全等级：CAT III 1000V/CAT IV 600V（符合 IEC 61010 标准），绝缘电阻≥100MΩ（500V DC）；过载保护：所有量程带保险丝保护（20A/250V 慢熔保险丝），输入端子防误插设计（电流端子独立标识）。</w:t>
            </w:r>
            <w:r/>
          </w:p>
          <w:p>
            <w:pPr>
              <w:jc w:val="left"/>
              <w:keepLines w:val="0"/>
              <w:keepNext w:val="0"/>
              <w:widowControl/>
              <w:rPr>
                <w:rStyle w:val="868"/>
                <w:rFonts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4.</w:t>
            </w:r>
            <w:r>
              <w:rPr>
                <w:rStyle w:val="868"/>
                <w:rFonts w:hAnsi="宋体"/>
                <w:b w:val="0"/>
                <w:bCs w:val="0"/>
                <w:sz w:val="18"/>
                <w:szCs w:val="18"/>
                <w:highlight w:val="none"/>
                <w:lang w:val="en-US" w:eastAsia="zh-CN" w:bidi="ar"/>
              </w:rPr>
              <w:t xml:space="preserve">便携与耐用性</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机身尺寸：≤150×80×40mm（不含表笔），重量≤300g（含电池）；外壳材质：阻燃 ABS 塑料（阻燃等级 V0 级），表面防滑纹理（摩擦系数≥0.8），边角防摔设计（1 米高度跌落至水泥地无功能损坏）。</w:t>
            </w:r>
            <w:r/>
          </w:p>
          <w:p>
            <w:pPr>
              <w:jc w:val="left"/>
              <w:keepLines w:val="0"/>
              <w:keepNext w:val="0"/>
              <w:widowControl/>
              <w:rPr>
                <w:rStyle w:val="868"/>
                <w:rFonts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5.</w:t>
            </w:r>
            <w:r>
              <w:rPr>
                <w:rStyle w:val="868"/>
                <w:rFonts w:hAnsi="宋体"/>
                <w:b w:val="0"/>
                <w:bCs w:val="0"/>
                <w:sz w:val="18"/>
                <w:szCs w:val="18"/>
                <w:highlight w:val="none"/>
                <w:lang w:val="en-US" w:eastAsia="zh-CN" w:bidi="ar"/>
              </w:rPr>
              <w:t xml:space="preserve">电源与续航</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供电：2 节 AA 电池（1.5V×2），续航≥200 小时（背光关闭、测量模式下）；自动关机：闲置 15 分钟无操作自动关机，低电量提示（电池电压≤2.5V 时 LED 闪烁）。</w:t>
            </w:r>
            <w:r/>
          </w:p>
          <w:p>
            <w:pPr>
              <w:jc w:val="left"/>
              <w:keepLines w:val="0"/>
              <w:keepNext w:val="0"/>
              <w:widowControl/>
              <w:rPr>
                <w:rStyle w:val="868"/>
                <w:rFonts w:hint="eastAsia"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6.</w:t>
            </w:r>
            <w:r>
              <w:rPr>
                <w:rStyle w:val="868"/>
                <w:rFonts w:hAnsi="宋体"/>
                <w:b w:val="0"/>
                <w:bCs w:val="0"/>
                <w:sz w:val="18"/>
                <w:szCs w:val="18"/>
                <w:highlight w:val="none"/>
                <w:lang w:val="en-US" w:eastAsia="zh-CN" w:bidi="ar"/>
              </w:rPr>
              <w:t xml:space="preserve">适配性要求</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表笔：硅胶表笔线（长度≥1.2m，耐温 - 20℃-85℃），表笔头镀镍铜材质（导电性能好，插拔寿命≥5000 次）；收纳：可放入维修工具 42 件套收纳盒独立格（尺寸≥15×10×5cm），无挤压变形。</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rPr>
              <w:suppressLineNumbers w:val="0"/>
            </w:pPr>
            <w:r>
              <w:rPr>
                <w:rStyle w:val="868"/>
                <w:rFonts w:hint="eastAsia" w:hAnsi="宋体"/>
                <w:b w:val="0"/>
                <w:bCs w:val="0"/>
                <w:sz w:val="18"/>
                <w:szCs w:val="18"/>
                <w:highlight w:val="none"/>
                <w:lang w:val="en-US" w:eastAsia="zh-CN" w:bidi="ar"/>
              </w:rPr>
              <w:t xml:space="preserve">7.</w:t>
            </w:r>
            <w:r>
              <w:rPr>
                <w:rStyle w:val="868"/>
                <w:rFonts w:hAnsi="宋体"/>
                <w:b w:val="0"/>
                <w:bCs w:val="0"/>
                <w:sz w:val="18"/>
                <w:szCs w:val="18"/>
                <w:highlight w:val="none"/>
                <w:lang w:val="en-US" w:eastAsia="zh-CN" w:bidi="ar"/>
              </w:rPr>
              <w:t xml:space="preserve">备用保险丝</w:t>
            </w:r>
            <w:r>
              <w:rPr>
                <w:rStyle w:val="868"/>
                <w:rFonts w:hint="eastAsia" w:hAnsi="宋体"/>
                <w:b w:val="0"/>
                <w:bCs w:val="0"/>
                <w:sz w:val="18"/>
                <w:szCs w:val="18"/>
                <w:highlight w:val="none"/>
                <w:lang w:val="en-US" w:eastAsia="zh-CN" w:bidi="ar"/>
              </w:rPr>
              <w:t xml:space="preserve">2个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514350"/>
                      <wp:effectExtent l="0" t="0" r="9525" b="3810"/>
                      <wp:docPr id="23"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24" descr="IMG_279"/>
                              <pic:cNvPicPr>
                                <a:picLocks noChangeAspect="1"/>
                              </pic:cNvPicPr>
                              <pic:nvPr/>
                            </pic:nvPicPr>
                            <pic:blipFill>
                              <a:blip r:embed="rId31"/>
                              <a:stretch/>
                            </pic:blipFill>
                            <pic:spPr bwMode="auto">
                              <a:xfrm>
                                <a:off x="0" y="0"/>
                                <a:ext cx="5238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1.2pt;height:40.5pt;mso-wrap-distance-left:0.0pt;mso-wrap-distance-top:0.0pt;mso-wrap-distance-right:0.0pt;mso-wrap-distance-bottom:0.0pt;" stroked="f" strokeweight="0.75pt">
                      <v:path textboxrect="0,0,0,0"/>
                      <v:imagedata r:id="rId31"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烧水壶</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Style w:val="868"/>
                <w:rFonts w:hint="eastAsia"/>
                <w:b w:val="0"/>
                <w:bCs w:val="0"/>
                <w:sz w:val="18"/>
                <w:szCs w:val="18"/>
                <w:highlight w:val="none"/>
                <w:lang w:val="en-US" w:eastAsia="zh-CN" w:bidi="ar"/>
              </w:rPr>
              <w:t xml:space="preserve">1.</w:t>
            </w:r>
            <w:r>
              <w:rPr>
                <w:rStyle w:val="868"/>
                <w:b w:val="0"/>
                <w:bCs w:val="0"/>
                <w:sz w:val="18"/>
                <w:szCs w:val="18"/>
                <w:highlight w:val="none"/>
                <w:lang w:val="en-US" w:eastAsia="zh-CN" w:bidi="ar"/>
              </w:rPr>
              <w:t xml:space="preserve"> 一键保温容量：壶体容量不小于 1.8L，不大于 3L，满足多人使用需求，实际容量误差范围在 ±5% 以内 。</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2.</w:t>
            </w:r>
            <w:r>
              <w:rPr>
                <w:rStyle w:val="868"/>
                <w:b w:val="0"/>
                <w:bCs w:val="0"/>
                <w:sz w:val="18"/>
                <w:szCs w:val="18"/>
                <w:highlight w:val="none"/>
                <w:lang w:val="en-US" w:eastAsia="zh-CN" w:bidi="ar"/>
              </w:rPr>
              <w:t xml:space="preserve">尺寸：整体设计紧凑，壶身高度不超过 30cm，底座直径不超过 25cm，便于放置在厨房台面，且不占用过多空间。</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3.</w:t>
            </w:r>
            <w:r>
              <w:rPr>
                <w:rStyle w:val="868"/>
                <w:b w:val="0"/>
                <w:bCs w:val="0"/>
                <w:sz w:val="18"/>
                <w:szCs w:val="18"/>
                <w:highlight w:val="none"/>
                <w:lang w:val="en-US" w:eastAsia="zh-CN" w:bidi="ar"/>
              </w:rPr>
              <w:t xml:space="preserve">壶身：采用食品级 304 不锈钢材质，符合 GB 4806.9-2016《食品安全国家标准食品接触用金属材料及制品》标准，厚度不小于 0.6mm，表面光滑无划痕、无毛刺，耐腐蚀、易清洁，且具备一定的保温性能。</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4.</w:t>
            </w:r>
            <w:r>
              <w:rPr>
                <w:rStyle w:val="868"/>
                <w:b w:val="0"/>
                <w:bCs w:val="0"/>
                <w:sz w:val="18"/>
                <w:szCs w:val="18"/>
                <w:highlight w:val="none"/>
                <w:lang w:val="en-US" w:eastAsia="zh-CN" w:bidi="ar"/>
              </w:rPr>
              <w:t xml:space="preserve">壶盖：内侧为食品级硅胶密封垫，无毒无味，耐高温（最高耐受温度不低于 200℃），密封性能良好，确保烧水和保温过程中无漏水、漏气现象；外侧材质可选用食品级 PP 塑料或与壶身相同的不锈钢材质，表面质感细腻，防烫处理到位。</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5.</w:t>
            </w:r>
            <w:r>
              <w:rPr>
                <w:rStyle w:val="868"/>
                <w:b w:val="0"/>
                <w:bCs w:val="0"/>
                <w:sz w:val="18"/>
                <w:szCs w:val="18"/>
                <w:highlight w:val="none"/>
                <w:lang w:val="en-US" w:eastAsia="zh-CN" w:bidi="ar"/>
              </w:rPr>
              <w:t xml:space="preserve">水管：自动上水管采用食品级硅胶材质，柔软耐用，无毒无味，符合 GB 4806.7-2016《食品安全国家标准 食品接触用塑料材料及制品》标准，确保饮用水安全。</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6.</w:t>
            </w:r>
            <w:r>
              <w:rPr>
                <w:rStyle w:val="868"/>
                <w:b w:val="0"/>
                <w:bCs w:val="0"/>
                <w:sz w:val="18"/>
                <w:szCs w:val="18"/>
                <w:highlight w:val="none"/>
                <w:lang w:val="en-US" w:eastAsia="zh-CN" w:bidi="ar"/>
              </w:rPr>
              <w:t xml:space="preserve">具备电动抽水装置，上水速度不低于 0.8L/min，可实现快速加水；抽水高度不低于 80cm，适应不同高度的水桶。</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7.</w:t>
            </w:r>
            <w:r>
              <w:rPr>
                <w:rStyle w:val="868"/>
                <w:b w:val="0"/>
                <w:bCs w:val="0"/>
                <w:sz w:val="18"/>
                <w:szCs w:val="18"/>
                <w:highlight w:val="none"/>
                <w:lang w:val="en-US" w:eastAsia="zh-CN" w:bidi="ar"/>
              </w:rPr>
              <w:t xml:space="preserve">设有水位感应装置，当壶内水位达到预设最高水位时，自动停止上水，防止水溢出；同时支持手动停止上水操作，方便灵活控制。</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8.</w:t>
            </w:r>
            <w:r>
              <w:rPr>
                <w:rStyle w:val="868"/>
                <w:b w:val="0"/>
                <w:bCs w:val="0"/>
                <w:sz w:val="18"/>
                <w:szCs w:val="18"/>
                <w:highlight w:val="none"/>
                <w:lang w:val="en-US" w:eastAsia="zh-CN" w:bidi="ar"/>
              </w:rPr>
              <w:t xml:space="preserve">加热与保温功能</w:t>
            </w:r>
            <w:r>
              <w:rPr>
                <w:rStyle w:val="869"/>
                <w:rFonts w:hint="eastAsia" w:eastAsia="黑体"/>
                <w:b w:val="0"/>
                <w:bCs w:val="0"/>
                <w:sz w:val="18"/>
                <w:szCs w:val="18"/>
                <w:highlight w:val="none"/>
                <w:lang w:val="en-US" w:eastAsia="zh-CN" w:bidi="ar"/>
              </w:rPr>
              <w:t xml:space="preserve">：</w:t>
            </w:r>
            <w:r>
              <w:rPr>
                <w:rStyle w:val="868"/>
                <w:b w:val="0"/>
                <w:bCs w:val="0"/>
                <w:sz w:val="18"/>
                <w:szCs w:val="18"/>
                <w:highlight w:val="none"/>
                <w:lang w:val="en-US" w:eastAsia="zh-CN" w:bidi="ar"/>
              </w:rPr>
              <w:t xml:space="preserve">加热功率为 1800 - 2200W，在常温（25℃）下，将满壶水烧开时间不超过 8 分钟；支持一键快速加热功能，操作便捷。</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9.</w:t>
            </w:r>
            <w:r>
              <w:rPr>
                <w:rStyle w:val="868"/>
                <w:b w:val="0"/>
                <w:bCs w:val="0"/>
                <w:sz w:val="18"/>
                <w:szCs w:val="18"/>
                <w:highlight w:val="none"/>
                <w:lang w:val="en-US" w:eastAsia="zh-CN" w:bidi="ar"/>
              </w:rPr>
              <w:t xml:space="preserve">保温功能可通过一键开启，保温温度可在 40 - 90℃范围内自由调节，调节精度为 5℃；保温状态下，每小时水温下降不超过 5℃，确保随时有热水可用。</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10.</w:t>
            </w:r>
            <w:r>
              <w:rPr>
                <w:rStyle w:val="868"/>
                <w:b w:val="0"/>
                <w:bCs w:val="0"/>
                <w:sz w:val="18"/>
                <w:szCs w:val="18"/>
                <w:highlight w:val="none"/>
                <w:lang w:val="en-US" w:eastAsia="zh-CN" w:bidi="ar"/>
              </w:rPr>
              <w:t xml:space="preserve">智能显示与控制</w:t>
            </w:r>
            <w:r>
              <w:rPr>
                <w:rStyle w:val="869"/>
                <w:rFonts w:hint="eastAsia" w:eastAsia="黑体"/>
                <w:b w:val="0"/>
                <w:bCs w:val="0"/>
                <w:sz w:val="18"/>
                <w:szCs w:val="18"/>
                <w:highlight w:val="none"/>
                <w:lang w:val="en-US" w:eastAsia="zh-CN" w:bidi="ar"/>
              </w:rPr>
              <w:t xml:space="preserve">：</w:t>
            </w:r>
            <w:r>
              <w:rPr>
                <w:rStyle w:val="868"/>
                <w:b w:val="0"/>
                <w:bCs w:val="0"/>
                <w:sz w:val="18"/>
                <w:szCs w:val="18"/>
                <w:highlight w:val="none"/>
                <w:lang w:val="en-US" w:eastAsia="zh-CN" w:bidi="ar"/>
              </w:rPr>
              <w:t xml:space="preserve">配备 LED 显示屏，可清晰显示水温、工作状态（加热、保温、上水等）、故障提示等信息；显示屏视角良好，强光下仍清晰可见。</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11.</w:t>
            </w:r>
            <w:r>
              <w:rPr>
                <w:rStyle w:val="868"/>
                <w:b w:val="0"/>
                <w:bCs w:val="0"/>
                <w:sz w:val="18"/>
                <w:szCs w:val="18"/>
                <w:highlight w:val="none"/>
                <w:lang w:val="en-US" w:eastAsia="zh-CN" w:bidi="ar"/>
              </w:rPr>
              <w:t xml:space="preserve">采用触控式操作面板，反应灵敏，操作简单易懂；具备童锁功能，防止儿童误操作引发安全事故。</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12.</w:t>
            </w:r>
            <w:r>
              <w:rPr>
                <w:rStyle w:val="868"/>
                <w:b w:val="0"/>
                <w:bCs w:val="0"/>
                <w:sz w:val="18"/>
                <w:szCs w:val="18"/>
                <w:highlight w:val="none"/>
                <w:lang w:val="en-US" w:eastAsia="zh-CN" w:bidi="ar"/>
              </w:rPr>
              <w:t xml:space="preserve">烧水壶需通过国家强制性产品认证（CCC 认证），符合 GB 4706.1-2005《家用和类似用途电器的安全 通用要求》及 GB 4706.19-2008《家用和类似用途电器的安全 液体加热器的特殊要求》标准。</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13.</w:t>
            </w:r>
            <w:r>
              <w:rPr>
                <w:rStyle w:val="868"/>
                <w:b w:val="0"/>
                <w:bCs w:val="0"/>
                <w:sz w:val="18"/>
                <w:szCs w:val="18"/>
                <w:highlight w:val="none"/>
                <w:lang w:val="en-US" w:eastAsia="zh-CN" w:bidi="ar"/>
              </w:rPr>
              <w:t xml:space="preserve">具备多重安全保护装置：</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13.1</w:t>
            </w:r>
            <w:r>
              <w:rPr>
                <w:rStyle w:val="868"/>
                <w:b w:val="0"/>
                <w:bCs w:val="0"/>
                <w:sz w:val="18"/>
                <w:szCs w:val="18"/>
                <w:highlight w:val="none"/>
                <w:lang w:val="en-US" w:eastAsia="zh-CN" w:bidi="ar"/>
              </w:rPr>
              <w:t xml:space="preserve">防干烧保护：当壶内水位低于最低水位时，自动切断电源，防止干烧引发危险，恢复水位后需手动重启。</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13.2</w:t>
            </w:r>
            <w:r>
              <w:rPr>
                <w:rStyle w:val="868"/>
                <w:b w:val="0"/>
                <w:bCs w:val="0"/>
                <w:sz w:val="18"/>
                <w:szCs w:val="18"/>
                <w:highlight w:val="none"/>
                <w:lang w:val="en-US" w:eastAsia="zh-CN" w:bidi="ar"/>
              </w:rPr>
              <w:t xml:space="preserve">超温保护：当水温超过设定温度或出现异常高温时，自动停止加热，保障使用安全。</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13.3</w:t>
            </w:r>
            <w:r>
              <w:rPr>
                <w:rStyle w:val="868"/>
                <w:b w:val="0"/>
                <w:bCs w:val="0"/>
                <w:sz w:val="18"/>
                <w:szCs w:val="18"/>
                <w:highlight w:val="none"/>
                <w:lang w:val="en-US" w:eastAsia="zh-CN" w:bidi="ar"/>
              </w:rPr>
              <w:t xml:space="preserve">漏电保护：内置漏电保护装置，当检测到漏电情况时，0.1 秒内迅速切断电源，确保用户安全。</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13.4</w:t>
            </w:r>
            <w:r>
              <w:rPr>
                <w:rStyle w:val="868"/>
                <w:b w:val="0"/>
                <w:bCs w:val="0"/>
                <w:sz w:val="18"/>
                <w:szCs w:val="18"/>
                <w:highlight w:val="none"/>
                <w:lang w:val="en-US" w:eastAsia="zh-CN" w:bidi="ar"/>
              </w:rPr>
              <w:t xml:space="preserve">绝缘电阻≥10MΩ，接地电阻≤0.1Ω，电源线长度不小于 75cm，线径符合国家标准，具备良好的柔韧性与耐磨性。</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42925"/>
                      <wp:effectExtent l="0" t="0" r="9525" b="5715"/>
                      <wp:docPr id="24"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5" descr="IMG_280"/>
                              <pic:cNvPicPr>
                                <a:picLocks noChangeAspect="1"/>
                              </pic:cNvPicPr>
                              <pic:nvPr/>
                            </pic:nvPicPr>
                            <pic:blipFill>
                              <a:blip r:embed="rId32"/>
                              <a:stretch/>
                            </pic:blipFill>
                            <pic:spPr bwMode="auto">
                              <a:xfrm>
                                <a:off x="0" y="0"/>
                                <a:ext cx="52387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1.2pt;height:42.8pt;mso-wrap-distance-left:0.0pt;mso-wrap-distance-top:0.0pt;mso-wrap-distance-right:0.0pt;mso-wrap-distance-bottom:0.0pt;" stroked="f" strokeweight="0.75pt">
                      <v:path textboxrect="0,0,0,0"/>
                      <v:imagedata r:id="rId32"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运输托盘</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尺寸参数：平板车长 250cm、宽 120cm，误差范围不超过 ±2cm；平板面离地高度不超过 80cm，便于货物装卸；平板车整体高度（含护栏，如有）不超过 120cm，以适应不同运输通道及仓储空间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承载能力：额定载重量不低于2吨，确保在满载状态下，平板车各部件结构稳固，无变形、断裂风险，满足重型货物运输需求。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动力系统：采用直流电机或交流电机，额定功率不低于15kW，确保平板车在满载情况下能平稳启动、运行；配备高性能蓄电池组，电池容量不低于 200Ah，续航里程不低于 80 公里（空载状态下），满载续航里程不低于 50 公里，满足长时间、多趟次运输任务。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行驶性能：最大行驶速度不低于15km/h，具备低速稳定行驶功能，速度可在 0 - 15km/h 范围内无极调节；爬坡能力不低于15%，确保在一定坡度路面上正常行驶；制动距离不超过 2 米（满载、最高速行驶时），制动灵敏可靠，保障行驶安全。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车架结构：车架采用高强度低合金钢材焊接而成，钢材屈服强度不低于 345MPa，关键部位（如横梁、纵梁连接处）进行加强处理，通过有限元分析确保结构强度；车架底部设置加强筋，增强整体刚性和抗变形能力，保证长期使用不易损坏。</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平板台面：台面采用厚度不小于 8mm 的优质钢板，表面平整光滑，进行防滑处理（如压花纹理或喷涂防滑涂层）；台面四周可设置可拆卸式护栏，护栏高度不低于 20cm，材质与车架一致，方便货物固定与运输。</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车轮配置：配备4个高强度橡胶轮胎，单胎承载能力不低于 2 吨；轮胎直径不小于 60cm，宽度不小于 20cm，具备良好的耐磨性和减震性能；车轮安装独立悬挂系统，减少行驶过程中的颠簸，确保货物平稳运输。</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操控系统：采用手柄式或方向盘式操控方式，操作灵活便捷；配备数字仪表盘，可实时显示电量、速度、行驶里程等信息；支持前进、后退、转向等基本操作，且具备倒车语音提示功能，提醒周围人员注意安全。</w:t>
            </w:r>
            <w:r>
              <w:rPr>
                <w:rStyle w:val="868"/>
                <w:b w:val="0"/>
                <w:bCs w:val="0"/>
                <w:sz w:val="18"/>
                <w:szCs w:val="18"/>
                <w:lang w:val="en-US" w:eastAsia="zh-CN" w:bidi="ar"/>
              </w:rPr>
              <w:br/>
            </w:r>
            <w:r>
              <w:rPr>
                <w:rStyle w:val="868"/>
                <w:b w:val="0"/>
                <w:bCs w:val="0"/>
                <w:sz w:val="18"/>
                <w:szCs w:val="18"/>
                <w:lang w:val="en-US" w:eastAsia="zh-CN" w:bidi="ar"/>
              </w:rPr>
              <w:t xml:space="preserve">配备紧急制动按钮，遇突发情况时可一键切断动力，立即停车；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安装防溜车装置，在平板车停驻时自动启动，防止车辆滑动；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车身设置反光标识，提高夜间或光线不足环境下的辨识度；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电气系统具备过载、短路、漏电保护功能，所有电气元件通过国家强制性产品认证（CCC 认证），确保用电安全。</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38150"/>
                      <wp:effectExtent l="0" t="0" r="9525" b="3810"/>
                      <wp:docPr id="25"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6" descr="IMG_281"/>
                              <pic:cNvPicPr>
                                <a:picLocks noChangeAspect="1"/>
                              </pic:cNvPicPr>
                              <pic:nvPr/>
                            </pic:nvPicPr>
                            <pic:blipFill>
                              <a:blip r:embed="rId33"/>
                              <a:stretch/>
                            </pic:blipFill>
                            <pic:spPr bwMode="auto">
                              <a:xfrm>
                                <a:off x="0" y="0"/>
                                <a:ext cx="5238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1.2pt;height:34.5pt;mso-wrap-distance-left:0.0pt;mso-wrap-distance-top:0.0pt;mso-wrap-distance-right:0.0pt;mso-wrap-distance-bottom:0.0pt;" stroked="f" strokeweight="0.75pt">
                      <v:path textboxrect="0,0,0,0"/>
                      <v:imagedata r:id="rId33" o:title=""/>
                    </v:shape>
                  </w:pict>
                </mc:Fallback>
              </mc:AlternateContent>
            </w:r>
            <w:r/>
          </w:p>
        </w:tc>
      </w:tr>
      <w:tr>
        <w:trPr>
          <w:trHeight w:val="37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吊机</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额定起重量：3 吨，在最大起升高度和工作幅度下，均需满足该额定载荷，误差范围不超过 ±3%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工作幅度：最大工作幅度不小于 6米，最小工作幅度不大于 1.5米，且在不同工作幅度下，吊机需保持稳定的起重性能。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起升高度：最大起升高度不低于 6米，起升高度可根据实际需求进行精确调节，调节精度不低于 0.1 米。</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整机尺寸：长 × 宽 × 高尺寸控制在300mm×1800mm×1500mm 以内（运输状态），方便在狭窄空间内运输和作业；展开作业时，占地面积不超过 8000mm×4000mm，确保作业空间需求。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整机重量：不超过1.5吨，以保证其在不同场地的移动便捷性和道路行驶合规性。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起升速度：空载起升速度不低于 20m/min，满载起升速度不低于 8m/min；下降速度可实现无极调速，确保平稳下降，避免货物晃动。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回转速度：回转角度 360° 连续回转，回转速度不超过 2r/min，回转平稳，无明显冲击和振动，且具备回转制动功能，制动可靠。</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变幅速度：吊臂变幅时间不超过 30 秒（从最小幅度到最大幅度），变幅过程平稳，无卡顿现象，且能在任意角度停止并保持稳定。</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液压泵：采用高性能变量柱塞泵，额定压力不低于 25MPa，流量不低于 40L/min，确保液压系统稳定可靠，提供充足动力。</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液压缸：主起升液压缸、变幅液压缸、伸缩液压缸等关键部件采用高强度合金钢制造，缸筒内径误差不超过 ±0.05mm，表面经过精密加工和镀铬处理，硬度达到 HV800 以上，具备良好的耐磨性和密封性，防止液压油泄漏。</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液压管路：采用高压无缝钢管或高强度橡胶软管，管路耐压等级不低于系统额定压力的 1.5 倍；管路连接采用可靠的密封接头，确保无渗漏现象；管路布置整齐合理，具备良好的抗振性能，防止因振动导致管路松动或损坏。</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液压油：使用抗磨液压油，粘度指数不低于 100，低温流动性好，适用温度范围为 - 20℃ - 80℃，且液压系统需配备高效的过滤装置，过滤精度不低于 10μm，确保液压油清洁，延长液压元件使用寿命。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吊臂：采用高强度合金钢制造，屈服强度不低于 600MPa，吊臂节数不少于 3 节，可通过液压伸缩机构实现同步伸缩，伸缩过程平稳，无爬行现象；吊臂表面经过防腐处理，如热镀锌或静电喷涂，涂层厚度不小于 80μm，具备良好的防锈、防腐蚀性能。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车架：车架采用高强度焊接结构，关键部位（如吊机底座与车架连接处、车架横梁等）进行加强设计，通过有限元分析确保结构强度和稳定性；车架底部配备可调节支腿，支腿跨度不小于 3.5 米，调节范围不小于 0.5 米，以适应不同地面条件，确保吊机作业时的稳定性。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超载保护装置：配备高精度的超载限制器，当载荷达到额定起重量的 90% 时，发出声光报警信号；当载荷达到额定起重量的 105% 时，自动切断起升动力源，防止超载作业引发安全事故。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14.</w:t>
            </w:r>
            <w:r>
              <w:rPr>
                <w:rStyle w:val="868"/>
                <w:b w:val="0"/>
                <w:bCs w:val="0"/>
                <w:sz w:val="18"/>
                <w:szCs w:val="18"/>
                <w:lang w:val="en-US" w:eastAsia="zh-CN" w:bidi="ar"/>
              </w:rPr>
              <w:t xml:space="preserve">限位装置：设置起升高度限位器、下降深度限位器、回转限位器、变幅限位器等，确保吊机在规定的工作范围内运行，当达到极限位置时，自动停止相应动作，并发出报警信号。</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15.</w:t>
            </w:r>
            <w:r>
              <w:rPr>
                <w:rStyle w:val="868"/>
                <w:b w:val="0"/>
                <w:bCs w:val="0"/>
                <w:sz w:val="18"/>
                <w:szCs w:val="18"/>
                <w:lang w:val="en-US" w:eastAsia="zh-CN" w:bidi="ar"/>
              </w:rPr>
              <w:t xml:space="preserve">制动系统：起升、回转、变幅等机构均配备可靠的制动装置，制动灵敏、可靠，制动距离不超过 0.5 米（满载起升时）；制动系统具备手动和自动两种控制方式，确保在紧急情况下能够迅速制动。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16.</w:t>
            </w:r>
            <w:r>
              <w:rPr>
                <w:rStyle w:val="868"/>
                <w:b w:val="0"/>
                <w:bCs w:val="0"/>
                <w:sz w:val="18"/>
                <w:szCs w:val="18"/>
                <w:lang w:val="en-US" w:eastAsia="zh-CN" w:bidi="ar"/>
              </w:rPr>
              <w:t xml:space="preserve">其他安全装置：配备风速仪，当风速超过规定值（如 12m/s）时，发出报警信号，并限制吊机的作业范围或停止作业；设置应急手动操作装置，在液压系统或电气系统出现故障时，可通过手动操作完成必要的动作，确保设备和人员安全。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17.</w:t>
            </w:r>
            <w:r>
              <w:rPr>
                <w:rStyle w:val="868"/>
                <w:b w:val="0"/>
                <w:bCs w:val="0"/>
                <w:sz w:val="18"/>
                <w:szCs w:val="18"/>
                <w:lang w:val="en-US" w:eastAsia="zh-CN" w:bidi="ar"/>
              </w:rPr>
              <w:t xml:space="preserve">电源：采用直流 24V 电源系统，配备高性能蓄电池，蓄电池容量不低于 100Ah，确保在无外接电源的情况下，吊机能够正常工作不少于 4 小时；同时具备外接电源接口，方便在有条件时进行充电或直接使用外接电源。</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18.</w:t>
            </w:r>
            <w:r>
              <w:rPr>
                <w:rStyle w:val="868"/>
                <w:b w:val="0"/>
                <w:bCs w:val="0"/>
                <w:sz w:val="18"/>
                <w:szCs w:val="18"/>
                <w:lang w:val="en-US" w:eastAsia="zh-CN" w:bidi="ar"/>
              </w:rPr>
              <w:t xml:space="preserve">电气元件：选用优质的电气元件，如接触器、继电器、传感器等，所有电气元件均需通过国家强制性产品认证（CCC 认证），确保电气系统的可靠性和安全性；电气线路布置整齐合理，采用防水、阻燃的电缆，且具备良好的绝缘性能，绝缘电阻不低于 10MΩ。</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19.</w:t>
            </w:r>
            <w:r>
              <w:rPr>
                <w:rStyle w:val="868"/>
                <w:b w:val="0"/>
                <w:bCs w:val="0"/>
                <w:sz w:val="18"/>
                <w:szCs w:val="18"/>
                <w:lang w:val="en-US" w:eastAsia="zh-CN" w:bidi="ar"/>
              </w:rPr>
              <w:t xml:space="preserve">控制系统：采用先进的 PLC 控制系统，具备智能化的操作和故障诊断功能，能够实时监测吊机的运行状态，如载荷、起升高度、工作幅度、液压系统压力等，并通过显示屏直观显示；当系统出现故障时，能够快速准确地诊断故障原因，并发出报警信号，方便维修人员进行检修。额定起重量：3 吨，在最大起升高度和工作幅度下，均需满足该额定载荷，误差范围不超过 ±3% 。</w:t>
            </w:r>
            <w:r>
              <w:rPr>
                <w:rStyle w:val="869"/>
                <w:rFonts w:eastAsia="黑体"/>
                <w:b w:val="0"/>
                <w:bCs w:val="0"/>
                <w:sz w:val="18"/>
                <w:szCs w:val="1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66725"/>
                      <wp:effectExtent l="0" t="0" r="9525" b="5715"/>
                      <wp:docPr id="26"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7" descr="IMG_282"/>
                              <pic:cNvPicPr>
                                <a:picLocks noChangeAspect="1"/>
                              </pic:cNvPicPr>
                              <pic:nvPr/>
                            </pic:nvPicPr>
                            <pic:blipFill>
                              <a:blip r:embed="rId34"/>
                              <a:stretch/>
                            </pic:blipFill>
                            <pic:spPr bwMode="auto">
                              <a:xfrm>
                                <a:off x="0" y="0"/>
                                <a:ext cx="523875"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1.2pt;height:36.8pt;mso-wrap-distance-left:0.0pt;mso-wrap-distance-top:0.0pt;mso-wrap-distance-right:0.0pt;mso-wrap-distance-bottom:0.0pt;" stroked="f" strokeweight="0.75pt">
                      <v:path textboxrect="0,0,0,0"/>
                      <v:imagedata r:id="rId34"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仪容风纪镜</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8"/>
                <w:b w:val="0"/>
                <w:bCs w:val="0"/>
                <w:sz w:val="18"/>
                <w:szCs w:val="18"/>
                <w:lang w:val="en-US" w:eastAsia="zh-CN" w:bidi="ar"/>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框架材质：框架采用优质胡桃木原木，经过72小时恒温烘干处理，含水率控制在12%以内，防止木材变形、开裂。</w:t>
            </w:r>
            <w:r/>
          </w:p>
          <w:p>
            <w:pPr>
              <w:numPr>
                <w:ilvl w:val="0"/>
                <w:numId w:val="0"/>
              </w:numPr>
              <w:jc w:val="left"/>
              <w:keepLines w:val="0"/>
              <w:keepNext w:val="0"/>
              <w:widowControl/>
              <w:rPr>
                <w:rStyle w:val="868"/>
                <w:b w:val="0"/>
                <w:bCs w:val="0"/>
                <w:sz w:val="18"/>
                <w:szCs w:val="18"/>
                <w:lang w:val="en-US" w:eastAsia="zh-CN" w:bidi="ar"/>
              </w:rPr>
              <w:suppressLineNumbers w:val="0"/>
            </w:pP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框架工艺：采用卯榫结构连接，表面进行砂光处理，达到光滑细腻的手感，无毛刺、无裂缝，边角进行圆润处理，涂饰环保漆，符合环保要求，甲醛释放量不超过0.025mg/m</w:t>
            </w:r>
            <w:r>
              <w:rPr>
                <w:rStyle w:val="863"/>
                <w:b w:val="0"/>
                <w:bCs w:val="0"/>
                <w:sz w:val="18"/>
                <w:szCs w:val="18"/>
                <w:lang w:val="en-US" w:eastAsia="zh-CN" w:bidi="ar"/>
              </w:rPr>
              <w:t xml:space="preserve">³</w:t>
            </w:r>
            <w:r>
              <w:rPr>
                <w:rStyle w:val="868"/>
                <w:b w:val="0"/>
                <w:bCs w:val="0"/>
                <w:sz w:val="18"/>
                <w:szCs w:val="18"/>
                <w:lang w:val="en-US" w:eastAsia="zh-CN" w:bidi="ar"/>
              </w:rPr>
              <w:t xml:space="preserve">，底三面封闭漆工艺处理，色泽均匀，具有良好的耐磨性、腐蚀性和耐候性，确保木材的稳定性和耐久性。</w:t>
            </w:r>
            <w:r/>
          </w:p>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镜面采用高清银镜材质，银含量部小于700mg/㎡，反光率不低于92%，成像清晰、逼真，色彩还原度高，无明显变形、扭曲现象，镜面平整度误差小于0.08mm/m，边缘切口平滑，无崩边、缺角等缺陷；款式简约大方，尺寸规格100*180c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19100" cy="571500"/>
                      <wp:effectExtent l="0" t="0" r="7620" b="7620"/>
                      <wp:docPr id="27"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28" descr="IMG_283"/>
                              <pic:cNvPicPr>
                                <a:picLocks noChangeAspect="1"/>
                              </pic:cNvPicPr>
                              <pic:nvPr/>
                            </pic:nvPicPr>
                            <pic:blipFill>
                              <a:blip r:embed="rId35"/>
                              <a:stretch/>
                            </pic:blipFill>
                            <pic:spPr bwMode="auto">
                              <a:xfrm>
                                <a:off x="0" y="0"/>
                                <a:ext cx="41910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33.0pt;height:45.0pt;mso-wrap-distance-left:0.0pt;mso-wrap-distance-top:0.0pt;mso-wrap-distance-right:0.0pt;mso-wrap-distance-bottom:0.0pt;" stroked="f" strokeweight="0.75pt">
                      <v:path textboxrect="0,0,0,0"/>
                      <v:imagedata r:id="rId35"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垃圾箱</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Style w:val="868"/>
                <w:rFonts w:hint="eastAsia"/>
                <w:b w:val="0"/>
                <w:bCs w:val="0"/>
                <w:sz w:val="18"/>
                <w:szCs w:val="18"/>
                <w:highlight w:val="none"/>
                <w:lang w:val="en-US" w:eastAsia="zh-CN" w:bidi="ar"/>
              </w:rPr>
              <w:t xml:space="preserve">1.</w:t>
            </w:r>
            <w:r>
              <w:rPr>
                <w:rStyle w:val="868"/>
                <w:b w:val="0"/>
                <w:bCs w:val="0"/>
                <w:sz w:val="18"/>
                <w:szCs w:val="18"/>
                <w:highlight w:val="none"/>
                <w:lang w:val="en-US" w:eastAsia="zh-CN" w:bidi="ar"/>
              </w:rPr>
              <w:t xml:space="preserve">设计风格：采用简约现代设计，哑光磨面工艺处理，表面质感细腻，色调低调沉稳，能与各类装修风格相协调，提升场所整洁度与美观度。</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2.</w:t>
            </w:r>
            <w:r>
              <w:rPr>
                <w:rStyle w:val="868"/>
                <w:b w:val="0"/>
                <w:bCs w:val="0"/>
                <w:sz w:val="18"/>
                <w:szCs w:val="18"/>
                <w:highlight w:val="none"/>
                <w:lang w:val="en-US" w:eastAsia="zh-CN" w:bidi="ar"/>
              </w:rPr>
              <w:t xml:space="preserve">主体材质</w:t>
            </w:r>
            <w:r>
              <w:rPr>
                <w:rStyle w:val="868"/>
                <w:rFonts w:hint="eastAsia"/>
                <w:b w:val="0"/>
                <w:bCs w:val="0"/>
                <w:sz w:val="18"/>
                <w:szCs w:val="18"/>
                <w:highlight w:val="none"/>
                <w:lang w:val="en-US" w:eastAsia="zh-CN" w:bidi="ar"/>
              </w:rPr>
              <w:t xml:space="preserve">:</w:t>
            </w:r>
            <w:r>
              <w:rPr>
                <w:rStyle w:val="868"/>
                <w:b w:val="0"/>
                <w:bCs w:val="0"/>
                <w:sz w:val="18"/>
                <w:szCs w:val="18"/>
                <w:highlight w:val="none"/>
                <w:lang w:val="en-US" w:eastAsia="zh-CN" w:bidi="ar"/>
              </w:rPr>
              <w:t xml:space="preserve">选用优质不锈钢材质，厚度不低于1.2mm，确保垃圾桶坚固耐用，不易变形、破损。表面采用哑光磨面处理工艺，增强耐磨性与防刮性，避免日常使用中产生明显划痕，同时有效防止指纹残留，保持外观整洁。</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3.</w:t>
            </w:r>
            <w:r>
              <w:rPr>
                <w:rStyle w:val="868"/>
                <w:b w:val="0"/>
                <w:bCs w:val="0"/>
                <w:sz w:val="18"/>
                <w:szCs w:val="18"/>
                <w:highlight w:val="none"/>
                <w:lang w:val="en-US" w:eastAsia="zh-CN" w:bidi="ar"/>
              </w:rPr>
              <w:t xml:space="preserve">烟灰缸材质：烟灰缸部分采用耐高温、耐腐蚀的陶瓷或金属材质，陶瓷材质需质地坚硬，釉面光滑，便于清洁；金属材质需进行耐高温涂层处理，能承受香烟燃烧高温，不产生变形、变色等问题 。</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4.</w:t>
            </w:r>
            <w:r>
              <w:rPr>
                <w:rStyle w:val="868"/>
                <w:b w:val="0"/>
                <w:bCs w:val="0"/>
                <w:sz w:val="18"/>
                <w:szCs w:val="18"/>
                <w:highlight w:val="none"/>
                <w:lang w:val="en-US" w:eastAsia="zh-CN" w:bidi="ar"/>
              </w:rPr>
              <w:t xml:space="preserve">内衬材质：垃圾桶内部配备可拆卸式塑料或金属内衬，塑料内衬需采用环保型高密度聚乙烯（HDPE）材质，具有良好的耐腐蚀性与抗冲击性；金属内衬需进行防锈处理，方便垃圾倾倒与清洁。</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5.</w:t>
            </w:r>
            <w:r>
              <w:rPr>
                <w:rStyle w:val="868"/>
                <w:b w:val="0"/>
                <w:bCs w:val="0"/>
                <w:sz w:val="18"/>
                <w:szCs w:val="18"/>
                <w:highlight w:val="none"/>
                <w:lang w:val="en-US" w:eastAsia="zh-CN" w:bidi="ar"/>
              </w:rPr>
              <w:t xml:space="preserve">组合形式：采用烟灰缸与垃圾桶一体式设计，烟灰缸位于垃圾桶顶部，开口大小适中（直径约 10 - 15cm），方便放置香烟，且能有效防止烟灰外溅；烟灰缸与垃圾桶主体连接紧密，无松动、脱落风险。</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6.</w:t>
            </w:r>
            <w:r>
              <w:rPr>
                <w:rStyle w:val="868"/>
                <w:b w:val="0"/>
                <w:bCs w:val="0"/>
                <w:sz w:val="18"/>
                <w:szCs w:val="18"/>
                <w:highlight w:val="none"/>
                <w:lang w:val="en-US" w:eastAsia="zh-CN" w:bidi="ar"/>
              </w:rPr>
              <w:t xml:space="preserve">容量规格</w:t>
            </w:r>
            <w:r>
              <w:rPr>
                <w:rStyle w:val="869"/>
                <w:rFonts w:hint="eastAsia" w:eastAsia="黑体"/>
                <w:b w:val="0"/>
                <w:bCs w:val="0"/>
                <w:sz w:val="18"/>
                <w:szCs w:val="18"/>
                <w:highlight w:val="none"/>
                <w:lang w:val="en-US" w:eastAsia="zh-CN" w:bidi="ar"/>
              </w:rPr>
              <w:t xml:space="preserve">:</w:t>
            </w:r>
            <w:r>
              <w:rPr>
                <w:rStyle w:val="868"/>
                <w:b w:val="0"/>
                <w:bCs w:val="0"/>
                <w:sz w:val="18"/>
                <w:szCs w:val="18"/>
                <w:highlight w:val="none"/>
                <w:lang w:val="en-US" w:eastAsia="zh-CN" w:bidi="ar"/>
              </w:rPr>
              <w:t xml:space="preserve">烟灰缸容量不低于 500ml，满足高频使用需求，减少清理频率。垃圾桶容量不低于 30L，具体尺寸可根据实际安装空间在合理范围内调整，误差范围控制在 ±2L 以内。</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7.</w:t>
            </w:r>
            <w:r>
              <w:rPr>
                <w:rStyle w:val="868"/>
                <w:b w:val="0"/>
                <w:bCs w:val="0"/>
                <w:sz w:val="18"/>
                <w:szCs w:val="18"/>
                <w:highlight w:val="none"/>
                <w:lang w:val="en-US" w:eastAsia="zh-CN" w:bidi="ar"/>
              </w:rPr>
              <w:t xml:space="preserve">开口设计：垃圾桶开口采用倾斜或翻盖式设计，倾斜式开口角度约为 45°，方便垃圾投放；翻盖式采用缓降阻尼装置，避免翻盖时产生较大噪音，且开启角度不小于 120°，便于垃圾清理。</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8.</w:t>
            </w:r>
            <w:r>
              <w:rPr>
                <w:rStyle w:val="868"/>
                <w:b w:val="0"/>
                <w:bCs w:val="0"/>
                <w:sz w:val="18"/>
                <w:szCs w:val="18"/>
                <w:highlight w:val="none"/>
                <w:lang w:val="en-US" w:eastAsia="zh-CN" w:bidi="ar"/>
              </w:rPr>
              <w:t xml:space="preserve">底部设计：底部配备防滑橡胶垫或支脚，确保垃圾桶放置平稳，防止滑动、移位，同时避免对地面造成刮伤；若用于户外，底部需具备排水孔设计，防止积水。</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9.</w:t>
            </w:r>
            <w:r>
              <w:rPr>
                <w:rStyle w:val="868"/>
                <w:b w:val="0"/>
                <w:bCs w:val="0"/>
                <w:sz w:val="18"/>
                <w:szCs w:val="18"/>
                <w:highlight w:val="none"/>
                <w:lang w:val="en-US" w:eastAsia="zh-CN" w:bidi="ar"/>
              </w:rPr>
              <w:t xml:space="preserve">防异味功能：垃圾桶内部设置密封胶条或除臭装置，有效防止垃圾异味散发，保持周围空气清新；若采用密封胶条，胶条需耐老化、弹性好，密封效果良好。</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10.</w:t>
            </w:r>
            <w:r>
              <w:rPr>
                <w:rStyle w:val="868"/>
                <w:b w:val="0"/>
                <w:bCs w:val="0"/>
                <w:sz w:val="18"/>
                <w:szCs w:val="18"/>
                <w:highlight w:val="none"/>
                <w:lang w:val="en-US" w:eastAsia="zh-CN" w:bidi="ar"/>
              </w:rPr>
              <w:t xml:space="preserve">防火性能：烟灰缸部分需具备良好的防火性能，能有效熄灭香烟，防止引发火灾；垃圾桶整体材质需为阻燃材料，符合国家相关防火安全标准。</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11.</w:t>
            </w:r>
            <w:r>
              <w:rPr>
                <w:rStyle w:val="868"/>
                <w:b w:val="0"/>
                <w:bCs w:val="0"/>
                <w:sz w:val="18"/>
                <w:szCs w:val="18"/>
                <w:highlight w:val="none"/>
                <w:lang w:val="en-US" w:eastAsia="zh-CN" w:bidi="ar"/>
              </w:rPr>
              <w:t xml:space="preserve">清洁便利性：烟灰缸与垃圾桶内衬均可独立拆卸，方便清理烟灰与垃圾；表面光滑无死角，便于日常擦拭清洁，不易残留污渍。</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134</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438150" cy="571500"/>
                      <wp:effectExtent l="0" t="0" r="3810" b="7620"/>
                      <wp:docPr id="28"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0" descr="IMG_285"/>
                              <pic:cNvPicPr>
                                <a:picLocks noChangeAspect="1"/>
                              </pic:cNvPicPr>
                              <pic:nvPr/>
                            </pic:nvPicPr>
                            <pic:blipFill>
                              <a:blip r:embed="rId36"/>
                              <a:stretch/>
                            </pic:blipFill>
                            <pic:spPr bwMode="auto">
                              <a:xfrm>
                                <a:off x="0" y="0"/>
                                <a:ext cx="438149"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34.5pt;height:45.0pt;mso-wrap-distance-left:0.0pt;mso-wrap-distance-top:0.0pt;mso-wrap-distance-right:0.0pt;mso-wrap-distance-bottom:0.0pt;" stroked="f" strokeweight="0.75pt">
                      <v:path textboxrect="0,0,0,0"/>
                      <v:imagedata r:id="rId36" o:title=""/>
                    </v:shape>
                  </w:pict>
                </mc:Fallback>
              </mc:AlternateContent>
            </w:r>
            <w:r/>
          </w:p>
        </w:tc>
      </w:tr>
      <w:tr>
        <w:trPr>
          <w:trHeight w:val="436"/>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8"/>
                <w:b w:val="0"/>
                <w:bCs w:val="0"/>
                <w:sz w:val="18"/>
                <w:szCs w:val="18"/>
                <w:lang w:val="en-US" w:eastAsia="zh-CN" w:bidi="ar"/>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选用优质</w:t>
            </w:r>
            <w:r>
              <w:rPr>
                <w:rStyle w:val="868"/>
                <w:rFonts w:hint="eastAsia"/>
                <w:b w:val="0"/>
                <w:bCs w:val="0"/>
                <w:sz w:val="18"/>
                <w:szCs w:val="18"/>
                <w:lang w:val="en-US" w:eastAsia="zh-CN" w:bidi="ar"/>
              </w:rPr>
              <w:t xml:space="preserve">木材</w:t>
            </w:r>
            <w:r>
              <w:rPr>
                <w:rStyle w:val="868"/>
                <w:b w:val="0"/>
                <w:bCs w:val="0"/>
                <w:sz w:val="18"/>
                <w:szCs w:val="18"/>
                <w:lang w:val="en-US" w:eastAsia="zh-CN" w:bidi="ar"/>
              </w:rPr>
              <w:t xml:space="preserve">，确保木材无虫蛀、腐朽、死结等缺陷。</w:t>
            </w:r>
            <w:r/>
          </w:p>
          <w:p>
            <w:pPr>
              <w:numPr>
                <w:ilvl w:val="0"/>
                <w:numId w:val="0"/>
              </w:numPr>
              <w:jc w:val="left"/>
              <w:keepLines w:val="0"/>
              <w:keepNext w:val="0"/>
              <w:widowControl/>
              <w:rPr>
                <w:rStyle w:val="868"/>
                <w:b w:val="0"/>
                <w:bCs w:val="0"/>
                <w:sz w:val="18"/>
                <w:szCs w:val="18"/>
                <w:lang w:val="en-US" w:eastAsia="zh-CN" w:bidi="ar"/>
              </w:rPr>
              <w:suppressLineNumbers w:val="0"/>
            </w:pP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木材密度≥0.6g/cm</w:t>
            </w:r>
            <w:r>
              <w:rPr>
                <w:rStyle w:val="863"/>
                <w:b w:val="0"/>
                <w:bCs w:val="0"/>
                <w:sz w:val="18"/>
                <w:szCs w:val="18"/>
                <w:lang w:val="en-US" w:eastAsia="zh-CN" w:bidi="ar"/>
              </w:rPr>
              <w:t xml:space="preserve">³</w:t>
            </w:r>
            <w:r>
              <w:rPr>
                <w:rStyle w:val="868"/>
                <w:b w:val="0"/>
                <w:bCs w:val="0"/>
                <w:sz w:val="18"/>
                <w:szCs w:val="18"/>
                <w:lang w:val="en-US" w:eastAsia="zh-CN" w:bidi="ar"/>
              </w:rPr>
              <w:t xml:space="preserve">，保证办公桌坚固耐用。木材含水率严格控制在 8% - 12% 之间，防止因含水率不当导致桌面变形、开裂，确保产品稳定性。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板材材质：若办公桌存在辅助板材（如抽屉底板等），需采用环保型中密度纤维板（MDF），甲醛释放量符合国家 E1 级标准（≤0.124mg/m</w:t>
            </w:r>
            <w:r>
              <w:rPr>
                <w:rStyle w:val="863"/>
                <w:b w:val="0"/>
                <w:bCs w:val="0"/>
                <w:sz w:val="18"/>
                <w:szCs w:val="18"/>
                <w:lang w:val="en-US" w:eastAsia="zh-CN" w:bidi="ar"/>
              </w:rPr>
              <w:t xml:space="preserve">³</w:t>
            </w:r>
            <w:r>
              <w:rPr>
                <w:rStyle w:val="868"/>
                <w:b w:val="0"/>
                <w:bCs w:val="0"/>
                <w:sz w:val="18"/>
                <w:szCs w:val="18"/>
                <w:lang w:val="en-US" w:eastAsia="zh-CN" w:bidi="ar"/>
              </w:rPr>
              <w:t xml:space="preserve">），保障办公人员健康。</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油漆材质：表面涂装采用环保型水性漆或优质聚酯漆，具备良好的耐磨性、耐污性和耐腐蚀性。油漆涂层需通过国家相关检测，无刺激性气味，色彩均匀饱满，能凸显木材天然纹理。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拼接工艺：桌面、桌腿等主要部件采用榫卯结构或优质五金连接件拼接，确保连接紧密、牢固，长期使用不易松动。榫卯结构需做工精细，缝隙宽度≤0.5mm；五金连接件需选用优质不锈钢或黄铜材质，表面经过防锈处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打磨工艺：木材表面需经过多道精细打磨工序，从粗砂到细砂逐步打磨，确保表面光滑平整，无毛刺、砂痕等缺陷，触感细腻。</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涂装工艺：涂装前对木材表面进行封闭处理，防止木材受潮变形。采用喷涂或刷涂工艺，涂装次数不少于 3 次，每次涂装后需充分干燥并打磨，确保漆面均匀、光滑，无流挂、气泡、颗粒等现象。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规格要求</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160*80*75cm，误差范围控制在 ±5mm 以内。</w:t>
            </w:r>
            <w:r/>
          </w:p>
          <w:p>
            <w:pPr>
              <w:numPr>
                <w:ilvl w:val="0"/>
                <w:numId w:val="0"/>
              </w:numPr>
              <w:jc w:val="left"/>
              <w:keepLines w:val="0"/>
              <w:keepNext w:val="0"/>
              <w:widowControl/>
              <w:rPr>
                <w:rStyle w:val="868"/>
                <w:b w:val="0"/>
                <w:bCs w:val="0"/>
                <w:sz w:val="18"/>
                <w:szCs w:val="18"/>
                <w:lang w:val="en-US" w:eastAsia="zh-CN" w:bidi="ar"/>
              </w:rPr>
              <w:suppressLineNumbers w:val="0"/>
            </w:pP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可根据实际办公空间需求定制尺寸，但需提前与采购方沟通确认。</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结构尺寸</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桌面厚度不低于 30mm，确保承重性能良好，可承受≥50kg 的均匀压力不变形。</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抽屉深度不小于 400mm，宽度不小于 450mm，高度不小于150mm，满足文件、办公用品存放需求；抽屉轨道采用静音三节导轨，承重能力≥20kg，推拉顺畅、无卡顿，使用寿命不少于5万次。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储物功能：配备多个抽屉和储物柜，抽屉与柜门采用优质五金锁具，锁具开启灵活、安全可靠；储物柜内部可根据需求设置隔板，方便分类存放文件、资料和办公用品。</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走线功能：桌面下方设置隐藏式走线孔或走线槽，方便电脑、打印机等办公设备的电源线、数据线整理，保持桌面整洁美观，避免线缆杂乱存在安全隐患。</w:t>
            </w:r>
            <w:r>
              <w:rPr>
                <w:rStyle w:val="868"/>
                <w:b w:val="0"/>
                <w:bCs w:val="0"/>
                <w:sz w:val="18"/>
                <w:szCs w:val="18"/>
                <w:lang w:val="en-US" w:eastAsia="zh-CN" w:bidi="ar"/>
              </w:rPr>
              <w:br/>
            </w:r>
            <w:r>
              <w:rPr>
                <w:rStyle w:val="868"/>
                <w:rFonts w:hint="eastAsia"/>
                <w:b w:val="0"/>
                <w:bCs w:val="0"/>
                <w:sz w:val="18"/>
                <w:szCs w:val="18"/>
                <w:lang w:val="en-US" w:eastAsia="zh-CN" w:bidi="ar"/>
              </w:rPr>
              <w:t xml:space="preserve">14.</w:t>
            </w:r>
            <w:r>
              <w:rPr>
                <w:rStyle w:val="868"/>
                <w:b w:val="0"/>
                <w:bCs w:val="0"/>
                <w:sz w:val="18"/>
                <w:szCs w:val="18"/>
                <w:lang w:val="en-US" w:eastAsia="zh-CN" w:bidi="ar"/>
              </w:rPr>
              <w:t xml:space="preserve">色泽：木材颜色均匀，无明显色差，涂装后的颜色符合设计要求，能展现木材的天然质感和独特纹理，呈现出优雅、高档的视觉效果。</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15.</w:t>
            </w:r>
            <w:r>
              <w:rPr>
                <w:rStyle w:val="868"/>
                <w:b w:val="0"/>
                <w:bCs w:val="0"/>
                <w:sz w:val="18"/>
                <w:szCs w:val="18"/>
                <w:lang w:val="en-US" w:eastAsia="zh-CN" w:bidi="ar"/>
              </w:rPr>
              <w:t xml:space="preserve">表面质量：表面光滑平整，无划痕、压痕、凹陷等缺陷，边角处进行圆润处理，避免磕碰受伤；五金配件安装牢固，表面无锈迹、污渍，与整体风格协调统一。</w:t>
            </w:r>
            <w:r/>
          </w:p>
          <w:p>
            <w:pPr>
              <w:numPr>
                <w:ilvl w:val="0"/>
                <w:numId w:val="0"/>
              </w:num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16.五金配件：导轨、铰链、三合一连接件：金属喷漆(塑)涂层硬度≥6H；乙酸盐雾试验(ASS)连续喷雾≥600h，镀(涂)层对基体的保护等级≥10级；镀(涂)层本身耐腐蚀等级≥10级；耐霉菌性等级0级；中性盐雾试验（NSS)连续喷雾≥600h，镀(涂)层对基体的保护等级≥10级；镀(涂)层本身耐腐蚀等级≥10级。</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09575"/>
                      <wp:effectExtent l="0" t="0" r="9525" b="1905"/>
                      <wp:docPr id="29"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1" descr="IMG_286"/>
                              <pic:cNvPicPr>
                                <a:picLocks noChangeAspect="1"/>
                              </pic:cNvPicPr>
                              <pic:nvPr/>
                            </pic:nvPicPr>
                            <pic:blipFill>
                              <a:blip r:embed="rId37"/>
                              <a:stretch/>
                            </pic:blipFill>
                            <pic:spPr bwMode="auto">
                              <a:xfrm>
                                <a:off x="0" y="0"/>
                                <a:ext cx="523875" cy="409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1.2pt;height:32.2pt;mso-wrap-distance-left:0.0pt;mso-wrap-distance-top:0.0pt;mso-wrap-distance-right:0.0pt;mso-wrap-distance-bottom:0.0pt;" stroked="f" strokeweight="0.75pt">
                      <v:path textboxrect="0,0,0,0"/>
                      <v:imagedata r:id="rId3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8"/>
                <w:b w:val="0"/>
                <w:bCs w:val="0"/>
                <w:sz w:val="18"/>
                <w:szCs w:val="18"/>
                <w:lang w:val="en-US" w:eastAsia="zh-CN" w:bidi="ar"/>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选用优质</w:t>
            </w:r>
            <w:r>
              <w:rPr>
                <w:rStyle w:val="868"/>
                <w:rFonts w:hint="eastAsia"/>
                <w:b w:val="0"/>
                <w:bCs w:val="0"/>
                <w:sz w:val="18"/>
                <w:szCs w:val="18"/>
                <w:lang w:val="en-US" w:eastAsia="zh-CN" w:bidi="ar"/>
              </w:rPr>
              <w:t xml:space="preserve">木材</w:t>
            </w:r>
            <w:r>
              <w:rPr>
                <w:rStyle w:val="868"/>
                <w:b w:val="0"/>
                <w:bCs w:val="0"/>
                <w:sz w:val="18"/>
                <w:szCs w:val="18"/>
                <w:lang w:val="en-US" w:eastAsia="zh-CN" w:bidi="ar"/>
              </w:rPr>
              <w:t xml:space="preserve">，确保木材无虫蛀、腐朽、死结等缺陷。</w:t>
            </w:r>
            <w:r/>
          </w:p>
          <w:p>
            <w:pPr>
              <w:numPr>
                <w:ilvl w:val="0"/>
                <w:numId w:val="0"/>
              </w:numPr>
              <w:jc w:val="left"/>
              <w:keepLines w:val="0"/>
              <w:keepNext w:val="0"/>
              <w:widowControl/>
              <w:rPr>
                <w:rStyle w:val="869"/>
                <w:rFonts w:eastAsia="黑体"/>
                <w:b w:val="0"/>
                <w:bCs w:val="0"/>
                <w:sz w:val="18"/>
                <w:szCs w:val="18"/>
                <w:lang w:val="en-US" w:eastAsia="zh-CN" w:bidi="ar"/>
              </w:rPr>
              <w:suppressLineNumbers w:val="0"/>
            </w:pP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木材密度≥0.6g/cm</w:t>
            </w:r>
            <w:r>
              <w:rPr>
                <w:rStyle w:val="863"/>
                <w:b w:val="0"/>
                <w:bCs w:val="0"/>
                <w:sz w:val="18"/>
                <w:szCs w:val="18"/>
                <w:lang w:val="en-US" w:eastAsia="zh-CN" w:bidi="ar"/>
              </w:rPr>
              <w:t xml:space="preserve">³</w:t>
            </w:r>
            <w:r>
              <w:rPr>
                <w:rStyle w:val="868"/>
                <w:b w:val="0"/>
                <w:bCs w:val="0"/>
                <w:sz w:val="18"/>
                <w:szCs w:val="18"/>
                <w:lang w:val="en-US" w:eastAsia="zh-CN" w:bidi="ar"/>
              </w:rPr>
              <w:t xml:space="preserve">，保证办公桌坚固耐用。木材含水率严格控制在 8% - 12% 之间，防止因含水率不当导致桌面变形、开裂，确保产品稳定性。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板材材质：若办公桌存在辅助板材（如抽屉底板等），需采用环保型中密度纤维板（MDF），甲醛释放量符合国家 E1 级标准（≤0.124mg/m</w:t>
            </w:r>
            <w:r>
              <w:rPr>
                <w:rStyle w:val="863"/>
                <w:b w:val="0"/>
                <w:bCs w:val="0"/>
                <w:sz w:val="18"/>
                <w:szCs w:val="18"/>
                <w:lang w:val="en-US" w:eastAsia="zh-CN" w:bidi="ar"/>
              </w:rPr>
              <w:t xml:space="preserve">³</w:t>
            </w:r>
            <w:r>
              <w:rPr>
                <w:rStyle w:val="868"/>
                <w:b w:val="0"/>
                <w:bCs w:val="0"/>
                <w:sz w:val="18"/>
                <w:szCs w:val="18"/>
                <w:lang w:val="en-US" w:eastAsia="zh-CN" w:bidi="ar"/>
              </w:rPr>
              <w:t xml:space="preserve">），保障办公人员健康。</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油漆材质：表面涂装采用环保型水性漆或优质聚酯漆，具备良好的耐磨性、耐污性和耐腐蚀性。油漆涂层需通过国家相关检测，无刺激性气味，色彩均匀饱满，能凸显木材天然纹理。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拼接工艺：桌面、桌腿等主要部件采用榫卯结构或优质五金连接件拼接，确保连接紧密、牢固，长期使用不易松动。榫卯结构需做工精细，缝隙宽度≤0.5mm；五金连接件需选用优质不锈钢或黄铜材质，表面经过防锈处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打磨工艺：木材表面需经过多道精细打磨工序，从粗砂到细砂逐步打磨，确保表面光滑平整，无毛刺、砂痕等缺陷，触感细腻。</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涂装工艺：涂装前对木材表面进行封闭处理，防止木材受潮变形。采用喷涂或刷涂工艺，涂装次数不少于 3 次，每次涂装后需充分干燥并打磨，确保漆面均匀、光滑，无流挂、气泡、颗粒等现象。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规</w:t>
            </w:r>
            <w:r>
              <w:rPr>
                <w:rStyle w:val="868"/>
                <w:rFonts w:hint="eastAsia"/>
                <w:b w:val="0"/>
                <w:bCs w:val="0"/>
                <w:sz w:val="18"/>
                <w:szCs w:val="18"/>
                <w:lang w:val="en-US" w:eastAsia="zh-CN" w:bidi="ar"/>
              </w:rPr>
              <w:t xml:space="preserve"> </w:t>
            </w:r>
            <w:r>
              <w:rPr>
                <w:rStyle w:val="868"/>
                <w:b w:val="0"/>
                <w:bCs w:val="0"/>
                <w:sz w:val="18"/>
                <w:szCs w:val="18"/>
                <w:lang w:val="en-US" w:eastAsia="zh-CN" w:bidi="ar"/>
              </w:rPr>
              <w:t xml:space="preserve">差范围控制在 ±5mm 以内。</w:t>
            </w:r>
            <w:r>
              <w:rPr>
                <w:rStyle w:val="869"/>
                <w:rFonts w:eastAsia="黑体"/>
                <w:b w:val="0"/>
                <w:bCs w:val="0"/>
                <w:sz w:val="18"/>
                <w:szCs w:val="18"/>
                <w:lang w:val="en-US" w:eastAsia="zh-CN" w:bidi="ar"/>
              </w:rPr>
              <w:t xml:space="preserve">​</w:t>
            </w:r>
            <w:r/>
          </w:p>
          <w:p>
            <w:pPr>
              <w:numPr>
                <w:ilvl w:val="0"/>
                <w:numId w:val="0"/>
              </w:numPr>
              <w:jc w:val="left"/>
              <w:keepLines w:val="0"/>
              <w:keepNext w:val="0"/>
              <w:widowControl/>
              <w:rPr>
                <w:rStyle w:val="869"/>
                <w:rFonts w:eastAsia="黑体"/>
                <w:b w:val="0"/>
                <w:bCs w:val="0"/>
                <w:sz w:val="18"/>
                <w:szCs w:val="18"/>
                <w:lang w:val="en-US" w:eastAsia="zh-CN" w:bidi="ar"/>
              </w:rPr>
              <w:suppressLineNumbers w:val="0"/>
            </w:pPr>
            <w:r>
              <w:rPr>
                <w:rStyle w:val="869"/>
                <w:rFonts w:hint="eastAsia" w:eastAsia="黑体"/>
                <w:b w:val="0"/>
                <w:bCs w:val="0"/>
                <w:sz w:val="18"/>
                <w:szCs w:val="18"/>
                <w:lang w:val="en-US" w:eastAsia="zh-CN" w:bidi="ar"/>
              </w:rPr>
              <w:t xml:space="preserve">9.</w:t>
            </w:r>
            <w:r>
              <w:rPr>
                <w:rStyle w:val="868"/>
                <w:b w:val="0"/>
                <w:bCs w:val="0"/>
                <w:sz w:val="18"/>
                <w:szCs w:val="18"/>
                <w:lang w:val="en-US" w:eastAsia="zh-CN" w:bidi="ar"/>
              </w:rPr>
              <w:t xml:space="preserve">可根据实际办公空间需求定制尺寸，但需提前与采购方沟通确认。</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结构尺寸</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桌面厚度不低于30mm，确保承重性能良好，可承受≥50kg 的均匀压力不变形。</w:t>
            </w:r>
            <w:r>
              <w:rPr>
                <w:rStyle w:val="869"/>
                <w:rFonts w:eastAsia="黑体"/>
                <w:b w:val="0"/>
                <w:bCs w:val="0"/>
                <w:sz w:val="18"/>
                <w:szCs w:val="18"/>
                <w:lang w:val="en-US" w:eastAsia="zh-CN" w:bidi="ar"/>
              </w:rPr>
              <w:t xml:space="preserve">​</w:t>
            </w:r>
            <w:r/>
          </w:p>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9"/>
                <w:rFonts w:hint="eastAsia" w:eastAsia="黑体"/>
                <w:b w:val="0"/>
                <w:bCs w:val="0"/>
                <w:sz w:val="18"/>
                <w:szCs w:val="18"/>
                <w:lang w:val="en-US" w:eastAsia="zh-CN" w:bidi="ar"/>
              </w:rPr>
              <w:t xml:space="preserve">11.</w:t>
            </w:r>
            <w:r>
              <w:rPr>
                <w:rStyle w:val="868"/>
                <w:b w:val="0"/>
                <w:bCs w:val="0"/>
                <w:sz w:val="18"/>
                <w:szCs w:val="18"/>
                <w:lang w:val="en-US" w:eastAsia="zh-CN" w:bidi="ar"/>
              </w:rPr>
              <w:t xml:space="preserve">抽屉深度不小于 400mm，宽度不小于 400mm，高度不小于 150mm，满足文件、办公用品存放需求；抽屉轨道采用静音三节导轨，承重能力≥20kg，推拉顺畅、无卡顿，使用寿命不少于 5 万次。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储物功能：配备多个抽屉和储物柜，抽屉与柜门采用优质五金锁具，锁具开启灵活、安全可靠；储物柜内部可根据需求设置隔板，方便分类存放文件、资料和办公用品。</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走线功能：桌面下方设置隐藏式走线孔或走线槽，方便电脑、打印机等办公设备的电源线、数据线整理，保持桌面整洁美观，避免线缆杂乱存在安全隐患。</w:t>
            </w:r>
            <w:r>
              <w:rPr>
                <w:rStyle w:val="868"/>
                <w:b w:val="0"/>
                <w:bCs w:val="0"/>
                <w:sz w:val="18"/>
                <w:szCs w:val="18"/>
                <w:lang w:val="en-US" w:eastAsia="zh-CN" w:bidi="ar"/>
              </w:rPr>
              <w:br/>
            </w:r>
            <w:r>
              <w:rPr>
                <w:rStyle w:val="868"/>
                <w:rFonts w:hint="eastAsia"/>
                <w:b w:val="0"/>
                <w:bCs w:val="0"/>
                <w:sz w:val="18"/>
                <w:szCs w:val="18"/>
                <w:lang w:val="en-US" w:eastAsia="zh-CN" w:bidi="ar"/>
              </w:rPr>
              <w:t xml:space="preserve">14.</w:t>
            </w:r>
            <w:r>
              <w:rPr>
                <w:rStyle w:val="868"/>
                <w:b w:val="0"/>
                <w:bCs w:val="0"/>
                <w:sz w:val="18"/>
                <w:szCs w:val="18"/>
                <w:lang w:val="en-US" w:eastAsia="zh-CN" w:bidi="ar"/>
              </w:rPr>
              <w:t xml:space="preserve">色泽：木材颜色均匀，无明显色差，涂装后的颜色符合设计要求，能展现木材的天然质感和独特纹理，呈现出优雅、高档的视觉效果。</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15.</w:t>
            </w:r>
            <w:r>
              <w:rPr>
                <w:rStyle w:val="868"/>
                <w:b w:val="0"/>
                <w:bCs w:val="0"/>
                <w:sz w:val="18"/>
                <w:szCs w:val="18"/>
                <w:lang w:val="en-US" w:eastAsia="zh-CN" w:bidi="ar"/>
              </w:rPr>
              <w:t xml:space="preserve">表面质量：表面光滑平整，无划痕、压痕、凹陷等缺陷，边角处进行圆润处理，避免磕碰受伤；五金配件安装牢固，表面无锈迹、污渍，与整体风格协调统一。</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66725"/>
                      <wp:effectExtent l="0" t="0" r="9525" b="5715"/>
                      <wp:docPr id="30"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32" descr="IMG_287"/>
                              <pic:cNvPicPr>
                                <a:picLocks noChangeAspect="1"/>
                              </pic:cNvPicPr>
                              <pic:nvPr/>
                            </pic:nvPicPr>
                            <pic:blipFill>
                              <a:blip r:embed="rId38"/>
                              <a:stretch/>
                            </pic:blipFill>
                            <pic:spPr bwMode="auto">
                              <a:xfrm>
                                <a:off x="0" y="0"/>
                                <a:ext cx="523875"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1.2pt;height:36.8pt;mso-wrap-distance-left:0.0pt;mso-wrap-distance-top:0.0pt;mso-wrap-distance-right:0.0pt;mso-wrap-distance-bottom:0.0pt;" stroked="f" strokeweight="0.75pt">
                      <v:path textboxrect="0,0,0,0"/>
                      <v:imagedata r:id="rId38"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带扶手，实木框架材质。选用优质实木，确保木材无虫蛀、腐朽、裂缝等缺陷。木材密度≥0.6g/cm</w:t>
            </w:r>
            <w:r>
              <w:rPr>
                <w:rStyle w:val="863"/>
                <w:b w:val="0"/>
                <w:bCs w:val="0"/>
                <w:sz w:val="18"/>
                <w:szCs w:val="18"/>
                <w:lang w:val="en-US" w:eastAsia="zh-CN" w:bidi="ar"/>
              </w:rPr>
              <w:t xml:space="preserve">³</w:t>
            </w:r>
            <w:r>
              <w:rPr>
                <w:rStyle w:val="868"/>
                <w:b w:val="0"/>
                <w:bCs w:val="0"/>
                <w:sz w:val="18"/>
                <w:szCs w:val="18"/>
                <w:lang w:val="en-US" w:eastAsia="zh-CN" w:bidi="ar"/>
              </w:rPr>
              <w:t xml:space="preserve">，保证框架坚固稳定，承重性能良好。木材含水率控制在 8% - 12% 之间，防止因含水率不当导致框架变形、开裂，影响椅子使用寿命。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面料：采用高品质皮革，布料需具有良好的耐磨性、透气性和色牢度，色牢度≥4 级，不易褪色、起球；皮革需质地柔软、纹理清晰，表面无划痕、破损，抗污性强，便于清洁打理。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填充物：使用高密度海绵，密度≥35kg/m</w:t>
            </w:r>
            <w:r>
              <w:rPr>
                <w:rStyle w:val="863"/>
                <w:b w:val="0"/>
                <w:bCs w:val="0"/>
                <w:sz w:val="18"/>
                <w:szCs w:val="18"/>
                <w:lang w:val="en-US" w:eastAsia="zh-CN" w:bidi="ar"/>
              </w:rPr>
              <w:t xml:space="preserve">³</w:t>
            </w:r>
            <w:r>
              <w:rPr>
                <w:rStyle w:val="868"/>
                <w:b w:val="0"/>
                <w:bCs w:val="0"/>
                <w:sz w:val="18"/>
                <w:szCs w:val="18"/>
                <w:lang w:val="en-US" w:eastAsia="zh-CN" w:bidi="ar"/>
              </w:rPr>
              <w:t xml:space="preserve">，回弹性好，久坐不易塌陷变形；海绵需符合国家环保标准，无异味，甲醛释放量符合 E1 级标准（≤0.124mg/m</w:t>
            </w:r>
            <w:r>
              <w:rPr>
                <w:rStyle w:val="863"/>
                <w:b w:val="0"/>
                <w:bCs w:val="0"/>
                <w:sz w:val="18"/>
                <w:szCs w:val="18"/>
                <w:lang w:val="en-US" w:eastAsia="zh-CN" w:bidi="ar"/>
              </w:rPr>
              <w:t xml:space="preserve">³</w:t>
            </w:r>
            <w:r>
              <w:rPr>
                <w:rStyle w:val="868"/>
                <w:b w:val="0"/>
                <w:bCs w:val="0"/>
                <w:sz w:val="18"/>
                <w:szCs w:val="18"/>
                <w:lang w:val="en-US" w:eastAsia="zh-CN" w:bidi="ar"/>
              </w:rPr>
              <w:t xml:space="preserve">），保障使用者健康。</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五金配件：椅子连接部位的五金配件（如螺丝、铰链等）采用优质不锈钢或黄铜材质，表面经过防锈、防氧化处理，确保连接牢固，开合顺畅，长期使用不易生锈、松动。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框架制作工艺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实木框架采用榫卯结构或优质五金连接件拼接，榫卯结构需精准契合，缝隙宽度≤0.5mm，确保框架稳固，承重能力≥150kg；五金连接件需安装牢固，螺丝拧紧后无晃动。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框架表面需经过精细打磨，从粗砂到细砂逐步打磨，确保表面光滑平整，无毛刺、棱角，触感细腻，防止划伤使用者。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软包制作工艺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软包裁剪需精准，尺寸与框架适配，缝合处针脚均匀细密，无跳线、脱线现象。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软包与框架的固定采用优质胶水和不锈钢钉相结合的方式，胶水需环保无毒，粘性强，确保软包牢固贴合框架，不易脱落、移位。</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表面处理工艺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实木框架表面采用环保型木蜡油或清漆进行涂装，涂装次数不少于 3 次，每次涂装后需充分干燥并打磨，使漆面均匀光滑，色泽饱满，能凸显木材天然纹理，同时具有良好的耐磨性和耐污性。</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皮革软包表面需进行防污、防刮处理，提升使用寿命；布料软包可进行防泼水处理，增强实用性。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规格要求</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座高：450 - 500mm，误差范围控制在 ±5mm 以内，符合人体工程学设计，确保使用者就坐时双脚能平稳着地，腿部舒适。座宽：≥450mm，座深≥420mm，为使用者提供宽敞的就坐空间，减少疲劳感。</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靠背高度：750 - 850mm，靠背弧度符合人体背部曲线，能有效支撑腰部和背部，缓解久坐疲劳。</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结构尺寸</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实木框架各部件厚度不低于 30mm，确保框架强度和稳定性。软包厚度不低于 50mm，其中海绵厚度不低于 45mm，为使用者提供柔软舒适的坐感。</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舒适性：椅子整体符合人体工程学设计，软包的柔软度和靠背的弧度能有效分散身体压力，减少久坐带来的疲劳感；座面和靠背表面平整，无凹凸不平现象。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稳定性：椅子四脚着地平稳，在水平地面上放置时，任意一脚与地面的间隙≤2mm，无摇晃、倾斜现象，确保使用安全。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静音功能：椅子底部配备防滑橡胶脚垫或静音塑料脚垫，脚垫与地面贴合紧密，移动椅子时无刺耳噪音，同时防止划伤地面，起到防滑作用。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14.</w:t>
            </w:r>
            <w:r>
              <w:rPr>
                <w:rStyle w:val="868"/>
                <w:b w:val="0"/>
                <w:bCs w:val="0"/>
                <w:sz w:val="18"/>
                <w:szCs w:val="18"/>
                <w:lang w:val="en-US" w:eastAsia="zh-CN" w:bidi="ar"/>
              </w:rPr>
              <w:t xml:space="preserve">色泽：实木框架颜色均匀，无明显色差，涂装后的颜色符合设计要求，展现木材的天然质感；软包颜色纯正，与框架颜色搭配协调，整体视觉效果美观。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15.</w:t>
            </w:r>
            <w:r>
              <w:rPr>
                <w:rStyle w:val="868"/>
                <w:b w:val="0"/>
                <w:bCs w:val="0"/>
                <w:sz w:val="18"/>
                <w:szCs w:val="18"/>
                <w:lang w:val="en-US" w:eastAsia="zh-CN" w:bidi="ar"/>
              </w:rPr>
              <w:t xml:space="preserve">表面质量：实木框架表面光滑，无划痕、压痕、裂缝等缺陷；软包表面平整，无褶皱、鼓包、污渍等问题，缝线整齐美观，五金配件安装牢固，表面无锈迹、污渍，与整体风格统一。</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33400"/>
                      <wp:effectExtent l="0" t="0" r="9525" b="0"/>
                      <wp:docPr id="31"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3" descr="IMG_288"/>
                              <pic:cNvPicPr>
                                <a:picLocks noChangeAspect="1"/>
                              </pic:cNvPicPr>
                              <pic:nvPr/>
                            </pic:nvPicPr>
                            <pic:blipFill>
                              <a:blip r:embed="rId39"/>
                              <a:stretch/>
                            </pic:blipFill>
                            <pic:spPr bwMode="auto">
                              <a:xfrm>
                                <a:off x="0" y="0"/>
                                <a:ext cx="5238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1.2pt;height:42.0pt;mso-wrap-distance-left:0.0pt;mso-wrap-distance-top:0.0pt;mso-wrap-distance-right:0.0pt;mso-wrap-distance-bottom:0.0pt;" stroked="f" strokeweight="0.75pt">
                      <v:path textboxrect="0,0,0,0"/>
                      <v:imagedata r:id="rId39"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耳朵椅，实木框架材质。选用优质实木，确保木材无虫蛀、腐朽、裂缝等缺陷。木材密度≥0.6g/cm</w:t>
            </w:r>
            <w:r>
              <w:rPr>
                <w:rStyle w:val="863"/>
                <w:b w:val="0"/>
                <w:bCs w:val="0"/>
                <w:sz w:val="18"/>
                <w:szCs w:val="18"/>
                <w:lang w:val="en-US" w:eastAsia="zh-CN" w:bidi="ar"/>
              </w:rPr>
              <w:t xml:space="preserve">³</w:t>
            </w:r>
            <w:r>
              <w:rPr>
                <w:rStyle w:val="868"/>
                <w:b w:val="0"/>
                <w:bCs w:val="0"/>
                <w:sz w:val="18"/>
                <w:szCs w:val="18"/>
                <w:lang w:val="en-US" w:eastAsia="zh-CN" w:bidi="ar"/>
              </w:rPr>
              <w:t xml:space="preserve">，保证框架坚固稳定，承重性能良好。木材含水率控制在 8% - 12% 之间，防止因含水率不当导致框架变形、开裂，影响椅子使用寿命。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面料：采用高品质皮革，布料需具有良好的耐磨性、透气性和色牢度，色牢度≥4 级，不易褪色、起球；皮革需质地柔软、纹理清晰，表面无划痕、破损，抗污性强，便于清洁打理。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填充物：使用高密度海绵，密度≥35kg/m</w:t>
            </w:r>
            <w:r>
              <w:rPr>
                <w:rStyle w:val="863"/>
                <w:b w:val="0"/>
                <w:bCs w:val="0"/>
                <w:sz w:val="18"/>
                <w:szCs w:val="18"/>
                <w:lang w:val="en-US" w:eastAsia="zh-CN" w:bidi="ar"/>
              </w:rPr>
              <w:t xml:space="preserve">³</w:t>
            </w:r>
            <w:r>
              <w:rPr>
                <w:rStyle w:val="868"/>
                <w:b w:val="0"/>
                <w:bCs w:val="0"/>
                <w:sz w:val="18"/>
                <w:szCs w:val="18"/>
                <w:lang w:val="en-US" w:eastAsia="zh-CN" w:bidi="ar"/>
              </w:rPr>
              <w:t xml:space="preserve">，回弹性好，久坐不易塌陷变形；海绵需符合国家环保标准，无异味，甲醛释放量符合 E1 级标准（≤0.124mg/m</w:t>
            </w:r>
            <w:r>
              <w:rPr>
                <w:rStyle w:val="863"/>
                <w:b w:val="0"/>
                <w:bCs w:val="0"/>
                <w:sz w:val="18"/>
                <w:szCs w:val="18"/>
                <w:lang w:val="en-US" w:eastAsia="zh-CN" w:bidi="ar"/>
              </w:rPr>
              <w:t xml:space="preserve">³</w:t>
            </w:r>
            <w:r>
              <w:rPr>
                <w:rStyle w:val="868"/>
                <w:b w:val="0"/>
                <w:bCs w:val="0"/>
                <w:sz w:val="18"/>
                <w:szCs w:val="18"/>
                <w:lang w:val="en-US" w:eastAsia="zh-CN" w:bidi="ar"/>
              </w:rPr>
              <w:t xml:space="preserve">），保障使用者健康。</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五金配件：椅子连接部位的五金配件（如螺丝、铰链等）采用优质不锈钢或黄铜材质，表面经过防锈、防氧化处理，确保连接牢固，开合顺畅，长期使用不易生锈、松动。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框架制作工艺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实木框架采用榫卯结构或优质五金连接件拼接，榫卯结构需精准契合，缝隙宽度≤0.5mm，确保框架稳固，承重能力≥150kg；五金连接件需安装牢固，螺丝拧紧后无晃动。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框架表面需经过精细打磨，从粗砂到细砂逐步打磨，确保表面光滑平整，无毛刺、棱角，触感细腻，防止划伤使用者。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软包制作工艺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软包裁剪需精准，尺寸与框架适配，缝合处针脚均匀细密，无跳线、脱线现象。软包与框架的固定采用优质胶水和不锈钢钉相结合的方式，胶水需环保无毒，粘性强，确保软包牢固贴合框架，不易脱落、移位。</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表面处理工艺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实木框架表面采用环保型木蜡油或清漆进行涂装，涂装次数不少于 3 次，每次涂装后需充分干燥并打磨，使漆面均匀光滑，色泽饱满，能凸显木材天然纹理，同时具有良好的耐磨性和耐污性。</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皮革软包表面需进行防污、防刮处理，提升使用寿命；布料软包可进行防泼水处理，增强实用性。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规格要求</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座高：450 - 500mm，误差范围控制在 ±5mm 以内，符合人体工程学设计，确保使用者就坐时双脚能平稳着地，腿部舒适。座宽：≥450mm，座深≥420mm，为使用者提供宽敞的就坐空间，减少疲劳感。</w:t>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靠背高度：750 - 850mm，靠背弧度符合人体背部曲线，能有效支撑腰部和背部，缓解久坐疲劳。</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结构尺寸</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实木框架各部件厚度不低于 30mm，确保框架强度和稳定性。软包厚度不低于 50mm，其中海绵厚度不低于 45mm，为使用者提供柔软舒适的坐感。</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舒适性：椅子整体符合人体工程学设计，软包的柔软度和靠背的弧度能有效分散身体压力，减少久坐带来的疲劳感；座面和靠背表面平整，无凹凸不平现象。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稳定性：椅子四脚着地平稳，在水平地面上放置时，任意一脚与地面的间隙≤2mm，无摇晃、倾斜现象，确保使用安全。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静音功能：椅子底部配备防滑橡胶脚垫或静音塑料脚垫，脚垫与地面贴合紧密，移动椅子时无刺耳噪音，同时防止划伤地面，起到防滑作用。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14.</w:t>
            </w:r>
            <w:r>
              <w:rPr>
                <w:rStyle w:val="868"/>
                <w:b w:val="0"/>
                <w:bCs w:val="0"/>
                <w:sz w:val="18"/>
                <w:szCs w:val="18"/>
                <w:lang w:val="en-US" w:eastAsia="zh-CN" w:bidi="ar"/>
              </w:rPr>
              <w:t xml:space="preserve">色泽：实木框架颜色均匀，无明显色差，涂装后的颜色符合设计要求，展现木材的天然质感；软包颜色纯正，与框架颜色搭配协调，整体视觉效果美观。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15.</w:t>
            </w:r>
            <w:r>
              <w:rPr>
                <w:rStyle w:val="868"/>
                <w:b w:val="0"/>
                <w:bCs w:val="0"/>
                <w:sz w:val="18"/>
                <w:szCs w:val="18"/>
                <w:lang w:val="en-US" w:eastAsia="zh-CN" w:bidi="ar"/>
              </w:rPr>
              <w:t xml:space="preserve">表面质量：实木框架表面光滑，无划痕、压痕、裂缝等缺陷；软包表面平整，无褶皱、鼓包、污渍等问题，缝线整齐美观，五金配件安装牢固，表面无锈迹、污渍，与整体风格统一。</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04825"/>
                      <wp:effectExtent l="0" t="0" r="9525" b="13335"/>
                      <wp:docPr id="32"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34" descr="IMG_289"/>
                              <pic:cNvPicPr>
                                <a:picLocks noChangeAspect="1"/>
                              </pic:cNvPicPr>
                              <pic:nvPr/>
                            </pic:nvPicPr>
                            <pic:blipFill>
                              <a:blip r:embed="rId40"/>
                              <a:stretch/>
                            </pic:blipFill>
                            <pic:spPr bwMode="auto">
                              <a:xfrm>
                                <a:off x="0" y="0"/>
                                <a:ext cx="523875"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1.2pt;height:39.8pt;mso-wrap-distance-left:0.0pt;mso-wrap-distance-top:0.0pt;mso-wrap-distance-right:0.0pt;mso-wrap-distance-bottom:0.0pt;" stroked="f" strokeweight="0.75pt">
                      <v:path textboxrect="0,0,0,0"/>
                      <v:imagedata r:id="rId40"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无扶手椅子，实木框架材质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选用优质实木，确保木材无虫蛀、腐朽、裂缝等缺陷。木材密度≥0.6g/cm</w:t>
            </w:r>
            <w:r>
              <w:rPr>
                <w:rStyle w:val="863"/>
                <w:b w:val="0"/>
                <w:bCs w:val="0"/>
                <w:sz w:val="18"/>
                <w:szCs w:val="18"/>
                <w:lang w:val="en-US" w:eastAsia="zh-CN" w:bidi="ar"/>
              </w:rPr>
              <w:t xml:space="preserve">³</w:t>
            </w:r>
            <w:r>
              <w:rPr>
                <w:rStyle w:val="868"/>
                <w:b w:val="0"/>
                <w:bCs w:val="0"/>
                <w:sz w:val="18"/>
                <w:szCs w:val="18"/>
                <w:lang w:val="en-US" w:eastAsia="zh-CN" w:bidi="ar"/>
              </w:rPr>
              <w:t xml:space="preserve">，保证框架坚固稳定，承重性能良好。木材含水率控制在 8% - 12% 之间，防止因含水率不当导致框架变形、开裂，影响椅子使用寿命。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面料：采用高品质皮革（如头层牛皮、仿皮），布料需具有良好的耐磨性、透气性和色牢度，色牢度≥4 级，不易褪色、起球；皮革需质地柔软、纹理清晰，表面无划痕、破损，抗污性强，便于清洁打理。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填充物：使用高密度海绵，密度≥35kg/m</w:t>
            </w:r>
            <w:r>
              <w:rPr>
                <w:rStyle w:val="863"/>
                <w:b w:val="0"/>
                <w:bCs w:val="0"/>
                <w:sz w:val="18"/>
                <w:szCs w:val="18"/>
                <w:lang w:val="en-US" w:eastAsia="zh-CN" w:bidi="ar"/>
              </w:rPr>
              <w:t xml:space="preserve">³</w:t>
            </w:r>
            <w:r>
              <w:rPr>
                <w:rStyle w:val="868"/>
                <w:b w:val="0"/>
                <w:bCs w:val="0"/>
                <w:sz w:val="18"/>
                <w:szCs w:val="18"/>
                <w:lang w:val="en-US" w:eastAsia="zh-CN" w:bidi="ar"/>
              </w:rPr>
              <w:t xml:space="preserve">，回弹性好，久坐不易塌陷变形；海绵需符合国家环保标准，无异味，甲醛释放量符合 E1 级标准（≤0.124mg/m</w:t>
            </w:r>
            <w:r>
              <w:rPr>
                <w:rStyle w:val="863"/>
                <w:b w:val="0"/>
                <w:bCs w:val="0"/>
                <w:sz w:val="18"/>
                <w:szCs w:val="18"/>
                <w:lang w:val="en-US" w:eastAsia="zh-CN" w:bidi="ar"/>
              </w:rPr>
              <w:t xml:space="preserve">³</w:t>
            </w:r>
            <w:r>
              <w:rPr>
                <w:rStyle w:val="868"/>
                <w:b w:val="0"/>
                <w:bCs w:val="0"/>
                <w:sz w:val="18"/>
                <w:szCs w:val="18"/>
                <w:lang w:val="en-US" w:eastAsia="zh-CN" w:bidi="ar"/>
              </w:rPr>
              <w:t xml:space="preserve">），保障使用者健康。</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五金配件：椅子连接部位的五金配件（如螺丝、铰链等）采用优质不锈钢或黄铜材质，表面经过防锈、防氧化处理，确保连接牢固，开合顺畅，长期使用不易生锈、松动。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框架制作工艺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实木框架采用榫卯结构或优质五金连接件拼接，榫卯结构需精准契合，缝隙宽度≤0.5mm，确保框架稳固，承重能力≥150kg；五金连接件需安装牢固，螺丝拧紧后无晃动。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框架表面需经过精细打磨，从粗砂到细砂逐步打磨，确保表面光滑平整，无毛刺、棱角，触感细腻，防止划伤使用者。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软包制作工艺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软包裁剪需精准，尺寸与框架适配，缝合处针脚均匀细密，无跳线、脱线现象。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软包与框架的固定采用优质胶水和不锈钢钉相结合的方式，胶水需环保无毒，粘性强，确保软包牢固贴合框架，不易脱落、移位。</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表面处理工艺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实木框架表面采用环保型木蜡油或清漆进行涂装，涂装次数不少于 3 次，每次涂装后需充分干燥并打磨，使漆面均匀光滑，色泽饱满，能凸显木材天然纹理，同时具有良好的耐磨性和耐污性。</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皮革软包表面需进行防污、防刮处理，提升使用寿命；布料软包可进行防泼水处理，增强实用性。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规格要求</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座高：450 - 500mm，误差范围控制在 ±5mm 以内，符合人体工程学设计，确保使用者就坐时双脚能平稳着地，腿部舒适。座宽：≥450mm，座深≥420mm，为使用者提供宽敞的就坐空间，减少疲劳感。</w:t>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靠背高度：750 - 850mm，靠背弧度符合人体背部曲线，能有效支撑腰部和背部，缓解久坐疲劳。</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结构尺寸</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实木框架各部件厚度不低于 30mm，确保框架强度和稳定性。软包厚度不低于 50mm，其中海绵厚度不低于 45mm，为使用者提供柔软舒适的坐感。</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舒适性：椅子整体符合人体工程学设计，软包的柔软度和靠背的弧度能有效分散身体压力，减少久坐带来的疲劳感；座面和靠背表面平整，无凹凸不平现象。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稳定性：椅子四脚着地平稳，在水平地面上放置时，任意一脚与地面的间隙≤2mm，无摇晃、倾斜现象，确保使用安全。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静音功能：椅子底部配备防滑橡胶脚垫或静音塑料脚垫，脚垫与地面贴合紧密，移动椅子时无刺耳噪音，同时防止划伤地面，起到防滑作用。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14.</w:t>
            </w:r>
            <w:r>
              <w:rPr>
                <w:rStyle w:val="868"/>
                <w:b w:val="0"/>
                <w:bCs w:val="0"/>
                <w:sz w:val="18"/>
                <w:szCs w:val="18"/>
                <w:lang w:val="en-US" w:eastAsia="zh-CN" w:bidi="ar"/>
              </w:rPr>
              <w:t xml:space="preserve">色泽：实木框架颜色均匀，无明显色差，涂装后的颜色符合设计要求，展现木材的天然质感；软包颜色纯正，与框架颜色搭配协调，整体视觉效果美观。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15.</w:t>
            </w:r>
            <w:r>
              <w:rPr>
                <w:rStyle w:val="868"/>
                <w:b w:val="0"/>
                <w:bCs w:val="0"/>
                <w:sz w:val="18"/>
                <w:szCs w:val="18"/>
                <w:lang w:val="en-US" w:eastAsia="zh-CN" w:bidi="ar"/>
              </w:rPr>
              <w:t xml:space="preserve">表面质量：实木框架表面光滑，无划痕、压痕、裂缝等缺陷；软包表面平整，无褶皱、鼓包、污渍等问题，缝线整齐美观，五金配件安装牢固，表面无锈迹、污渍，与整体风格统一。</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19100"/>
                      <wp:effectExtent l="0" t="0" r="9525" b="7620"/>
                      <wp:docPr id="33"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35" descr="IMG_290"/>
                              <pic:cNvPicPr>
                                <a:picLocks noChangeAspect="1"/>
                              </pic:cNvPicPr>
                              <pic:nvPr/>
                            </pic:nvPicPr>
                            <pic:blipFill>
                              <a:blip r:embed="rId41"/>
                              <a:stretch/>
                            </pic:blipFill>
                            <pic:spPr bwMode="auto">
                              <a:xfrm>
                                <a:off x="0" y="0"/>
                                <a:ext cx="523875"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1.2pt;height:33.0pt;mso-wrap-distance-left:0.0pt;mso-wrap-distance-top:0.0pt;mso-wrap-distance-right:0.0pt;mso-wrap-distance-bottom:0.0pt;" stroked="f" strokeweight="0.75pt">
                      <v:path textboxrect="0,0,0,0"/>
                      <v:imagedata r:id="rId41"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网格休闲椅，金属框架：选用优质铝</w:t>
            </w:r>
            <w:r>
              <w:rPr>
                <w:rStyle w:val="868"/>
                <w:rFonts w:hint="eastAsia"/>
                <w:b w:val="0"/>
                <w:bCs w:val="0"/>
                <w:sz w:val="18"/>
                <w:szCs w:val="18"/>
                <w:lang w:val="en-US" w:eastAsia="zh-CN" w:bidi="ar"/>
              </w:rPr>
              <w:t xml:space="preserve">钢材</w:t>
            </w:r>
            <w:r>
              <w:rPr>
                <w:rStyle w:val="868"/>
                <w:b w:val="0"/>
                <w:bCs w:val="0"/>
                <w:sz w:val="18"/>
                <w:szCs w:val="18"/>
                <w:lang w:val="en-US" w:eastAsia="zh-CN" w:bidi="ar"/>
              </w:rPr>
              <w:t xml:space="preserve">。需采用 6063 - T5 标准型材，壁厚不低于 1.8mm，确保强度高、重量轻、耐腐蚀；不锈钢框架采用 304 不锈钢，壁厚不低于 1.5mm，具备良好的防锈、防腐蚀性能。</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采用高强度聚酯纤维网布或特斯林网布，克重不低于 350g/㎡，具备良好的耐磨性、透气性和抗撕裂性，断裂强力经向≥2500N，纬向≥1800N。网布需通过环保检测，无异味，甲醛释放量符合国家 E1 级标准（≤0.124mg/m</w:t>
            </w:r>
            <w:r>
              <w:rPr>
                <w:rStyle w:val="863"/>
                <w:b w:val="0"/>
                <w:bCs w:val="0"/>
                <w:sz w:val="18"/>
                <w:szCs w:val="18"/>
                <w:lang w:val="en-US" w:eastAsia="zh-CN" w:bidi="ar"/>
              </w:rPr>
              <w:t xml:space="preserve">³</w:t>
            </w:r>
            <w:r>
              <w:rPr>
                <w:rStyle w:val="868"/>
                <w:b w:val="0"/>
                <w:bCs w:val="0"/>
                <w:sz w:val="18"/>
                <w:szCs w:val="18"/>
                <w:lang w:val="en-US" w:eastAsia="zh-CN" w:bidi="ar"/>
              </w:rPr>
              <w:t xml:space="preserve">），色牢度≥4 级，不易褪色。</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椅子脚垫采用防滑橡胶材质，硬度适中，既能有效防止椅子滑动，又不会损伤地面，且具备良好的耐老化性能。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金属连接件采用不锈钢材质，表面经过防锈、防氧化处理，确保连接牢固，长期使用不易生锈、松动。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框架制作工艺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金属框架采用焊接或铆接工艺，焊接处需光滑平整，无焊渣、气孔、虚焊等缺陷，焊接强度需通过专业测试；铆接处需紧密牢固，无松动现象。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金属框架表面需进行静电喷塑或阳极氧化处理，涂层厚度≥0.15mm，附着力≥1 级，耐磨、耐刮、耐腐蚀；木质框架表面采用环保型木蜡油或清漆进行涂装，涂装次数不少于 3 次，确保表面光滑，色泽均匀。</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网格安装工艺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网布裁剪需精准，尺寸与框架适配，通过高强度尼龙绑带或金属扣环固定在框架上，固定点分布均匀，确保网布张紧度一致，无松弛、褶皱现象。网布与框架的连接处需进行包边处理，防止网布边缘磨损、脱线，包边材料需与网布材质相匹配，且牢固耐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座高：400 - 450mm，误差范围控制在 ±5mm 以内，符合人体工程学设计，确保使用者就坐时双脚能自然着地，腿部放松。</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座宽：≥450mm，座深≥420mm，为使用者提供舒适的就坐空间。</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靠背高度：700 - 800mm，靠背弧度贴合人体背部曲线，能有效支撑腰部和背部，缓解疲劳。</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结构尺寸</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金属框架各部件管径不小于 25mm，确保框架强度和稳定性。网格的网孔大小均匀，孔径不大于 10mm×10mm，保证网布的支撑性和舒适性。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舒适性：椅子整体符合人体工程学设计，网布具有良好的弹性和透气性，能有效分散身体压力，久坐不易产生闷热感；靠背角度设计合理，一般在 100 - 110°之间，为背部提供良好支撑。</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稳定性：椅子四脚着地平稳，在水平地面上放置时，任意一脚与地面的间隙≤2mm，无摇晃、倾斜现象，确保使用安全；椅子承重能力≥120kg。</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14.</w:t>
            </w:r>
            <w:r>
              <w:rPr>
                <w:rStyle w:val="868"/>
                <w:b w:val="0"/>
                <w:bCs w:val="0"/>
                <w:sz w:val="18"/>
                <w:szCs w:val="18"/>
                <w:lang w:val="en-US" w:eastAsia="zh-CN" w:bidi="ar"/>
              </w:rPr>
              <w:t xml:space="preserve">色泽：框架颜色均匀，无明显色差，表面涂层或漆面色泽饱满，符合设计要求；网布颜色纯正，与框架颜色搭配协调，整体视觉效果和谐美观。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15.</w:t>
            </w:r>
            <w:r>
              <w:rPr>
                <w:rStyle w:val="868"/>
                <w:b w:val="0"/>
                <w:bCs w:val="0"/>
                <w:sz w:val="18"/>
                <w:szCs w:val="18"/>
                <w:lang w:val="en-US" w:eastAsia="zh-CN" w:bidi="ar"/>
              </w:rPr>
              <w:t xml:space="preserve">表面质量：框架表面光滑，无划痕、压痕、裂缝等缺陷；网布表面平整，无污渍、破损、线头外露等问题，边缘整齐；五金配件安装牢固，表面无锈迹、污渍，与整体风格统一。</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50</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66725"/>
                      <wp:effectExtent l="0" t="0" r="9525" b="5715"/>
                      <wp:docPr id="34"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36" descr="IMG_291"/>
                              <pic:cNvPicPr>
                                <a:picLocks noChangeAspect="1"/>
                              </pic:cNvPicPr>
                              <pic:nvPr/>
                            </pic:nvPicPr>
                            <pic:blipFill>
                              <a:blip r:embed="rId42"/>
                              <a:stretch/>
                            </pic:blipFill>
                            <pic:spPr bwMode="auto">
                              <a:xfrm>
                                <a:off x="0" y="0"/>
                                <a:ext cx="523875"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1.2pt;height:36.8pt;mso-wrap-distance-left:0.0pt;mso-wrap-distance-top:0.0pt;mso-wrap-distance-right:0.0pt;mso-wrap-distance-bottom:0.0pt;" stroked="f" strokeweight="0.75pt">
                      <v:path textboxrect="0,0,0,0"/>
                      <v:imagedata r:id="rId42"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重型盾牌</w:t>
            </w:r>
            <w:r>
              <w:rPr>
                <w:rFonts w:hint="eastAsia" w:ascii="黑体" w:hAnsi="宋体" w:eastAsia="黑体" w:cs="黑体"/>
                <w:b w:val="0"/>
                <w:bCs w:val="0"/>
                <w:i w:val="0"/>
                <w:iCs w:val="0"/>
                <w:color w:val="000000"/>
                <w:sz w:val="18"/>
                <w:szCs w:val="18"/>
                <w:u w:val="none"/>
                <w:lang w:val="en-US" w:eastAsia="zh-CN" w:bidi="ar"/>
              </w:rPr>
              <w:br/>
            </w:r>
            <w:r>
              <w:rPr>
                <w:rFonts w:hint="eastAsia" w:ascii="黑体" w:hAnsi="宋体" w:eastAsia="黑体" w:cs="黑体"/>
                <w:b w:val="0"/>
                <w:bCs w:val="0"/>
                <w:i w:val="0"/>
                <w:iCs w:val="0"/>
                <w:color w:val="000000"/>
                <w:sz w:val="18"/>
                <w:szCs w:val="18"/>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8"/>
                <w:b w:val="0"/>
                <w:bCs w:val="0"/>
                <w:sz w:val="18"/>
                <w:szCs w:val="18"/>
                <w:lang w:val="en-US" w:eastAsia="zh-CN" w:bidi="ar"/>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军绿色重型双层盾牌货架，单层承重500KG。</w:t>
            </w:r>
            <w:r>
              <w:rPr>
                <w:rStyle w:val="868"/>
                <w:rFonts w:hint="eastAsia"/>
                <w:b w:val="0"/>
                <w:bCs w:val="0"/>
                <w:sz w:val="18"/>
                <w:szCs w:val="18"/>
                <w:lang w:val="en-US" w:eastAsia="zh-CN" w:bidi="ar"/>
              </w:rPr>
              <w:t xml:space="preserve">冷轧钢板：厚度达到≥0.8mm，外观性能要求金属件喷涂层无漏喷、锈蚀和脱色、掉色现象，光滑均匀、色泽一致，无流挂、疙瘩、皱皮、飞漆等缺</w:t>
            </w:r>
            <w:r>
              <w:rPr>
                <w:rStyle w:val="868"/>
                <w:rFonts w:hint="eastAsia"/>
                <w:b w:val="0"/>
                <w:bCs w:val="0"/>
                <w:sz w:val="18"/>
                <w:szCs w:val="18"/>
                <w:lang w:val="en-US" w:eastAsia="zh-CN" w:bidi="ar"/>
              </w:rPr>
              <w:t xml:space="preserve">陷；产品表面涂饰层金属喷漆（塑）涂层硬度≥5H；耐腐蚀300h内，无鼓泡产生，300h后，无锈迹、剥落、起皱、变色和失光等现象；附着力0级；乙酸盐雾试验(ASS)连续喷雾≥600h，镀(涂)层对基体的保护等级≥10级；镀(涂)层本身耐腐蚀等级≥10级；力学性能：屈服强度≤275MPa；抗拉强度≥355MPa；断后伸长率≥35%；元素分析C、Si、Mn、P、S 均有检测；中性盐雾试验（NSS)连续喷雾≥600h，镀(涂)层对基体的保护等级≥10级；镀(涂)层本身耐腐蚀等级≥10级；耐霉菌性等级（黑曲霉）0级。</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200*60*210cm设计原则：遵循安全可靠、结构合理、便于操作的设计理念，确保货架在承载 500千克货物时，能长期稳定运行，且方便货物的搬运、堆码与盘点。</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立柱材质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采用优质冷轧钢板，材质型号不低于 Q235B，需提供材质证明文件。立柱截面尺寸不小于 80mm×60mm，厚度不低于 3.0mm，确保立柱具有足够的强度和稳定性，抵御货物存放时产生的侧向压力。</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钢板需通过拉伸、弯曲等力学性能检测，屈服强度≥235MPa，抗拉强度≥370MPa，保证立柱在承载状态下不发生变形、断裂。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横梁材质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选用优质方管或抱焊梁，材质同样为不低于 Q235B 的冷轧钢板。方管横梁截面尺寸不小于 50mm×30mm，壁厚不低于1.8mm；抱焊梁采用两块钢板焊接而成，单块钢板厚度不低于 2.0mm，焊接处需饱满牢固，无虚焊、漏焊现象。横梁的承重能力需通过专业力学计算与测试，确保在承载 500 千克货物时，挠度不超过 L/250（L 为横梁长度），避免因过度弯曲影响货架使用寿命与安全性。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层板材质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采用冷轧钢板或花纹钢板，冷轧钢板厚度不低于 0.8mm，花纹钢板厚度不低于 1.0mm，表面平整，无明显凹凸、裂缝等缺陷。层板需具备良好的防滑性能，冷轧钢板表面可进行压筋处理，花纹钢板的花纹深度不小于 2mm，防止货物在存放与搬运过程中滑落。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配件材质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货架的连接件（如立柱与横梁的连接锁扣、螺栓等）采用高强度碳钢材质，表面经过镀锌或达克罗处理，增强防锈、防腐蚀能力，确保连接牢固，在货架承载与使用过程中不松动、脱落。货架底部的防撞护脚采用高强度橡胶或塑料材质，具有良好的弹性与耐磨性，能有效缓冲叉车等搬运设备碰撞产生的冲击力，保护货架立柱。</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立柱结构</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立柱采用孔型设计，孔间距为 50mm 或 75mm，便于横梁高度灵活调节，以适应不同高度货物的存放需求。立柱表面需进行防滑处理，防止横梁安装后滑动。立柱底部需焊接底板，底板尺寸不小于 150mm×150mm，厚度不低于 6mm，通过膨胀螺栓与地面牢固固定，确保货架整体稳定性。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横梁结构</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横梁与立柱采用插接式或螺栓连接方式，插接式横梁的挂钩需与立柱孔精准配合，挂钩深度不小于 30mm，确保连接紧密；螺栓连接方式的螺栓规格不小于 M10，且需配备弹簧垫片，防止螺栓松动。横梁两端需设置防脱落装置，如安全销或挡片，防止货物重压下横梁意外脱落，保障作业安全。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层板结构</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层板与横梁采用焊接、铆接或卡扣连接方式，焊接连接的焊缝需均匀连续，无焊穿、气孔等缺陷；铆接连接的铆钉需分布均匀，牢固可靠；卡扣连接的卡扣需具有足够的强度，确保层板与横梁连接稳定，在承载货物时不发生移位。</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相邻层板之间的间距不小于货物高度加 100mm，以便于货物的存取与搬运操作。</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加工工艺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钢材的切割采用激光切割或数控剪板机切割，确保尺寸精度，切割面平整光滑，无毛刺、豁口等缺陷。立柱、横梁等部件的成型采用冷弯成型工艺，保证部件的形状精度与表面质量，成型后的部件需进行矫直处理，直线度误差不超过 1mm/m。</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表面处理工艺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货架表面需进行脱脂、酸洗、磷化、钝化等前处理工序，去除表面油污、铁锈等杂质，形成致密的磷化膜，增强涂层附着力。采用静电粉末喷涂工艺进行表面涂装，涂层厚度不低于 60μm，颜色为国际标准安全色（如黄色、灰色等），涂层需均匀平整，无流挂、气泡、漏喷等现象，且具有良好的耐磨性、耐腐蚀性和耐候性，通过盐雾试验时间不低于 800 小时。</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承重标识：货架显著位置需设置清晰、永久的承重标识牌，标明货架的单层额定承重（500 千克）、总承重、使用注意事项等信息，防止超载使用。</w:t>
            </w:r>
            <w:r/>
          </w:p>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防护装置</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货架通道两侧需安装防撞护栏，护栏高度不低于100mm，采用钢管或钢板制作，表面进行防腐处理，能有效防止叉车碰撞货架。高层货架需设置防坠落装置，如防护网或防护栏，防止货物从高处掉落，保障作业人员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14.</w:t>
            </w:r>
            <w:r>
              <w:rPr>
                <w:rStyle w:val="868"/>
                <w:b w:val="0"/>
                <w:bCs w:val="0"/>
                <w:sz w:val="18"/>
                <w:szCs w:val="18"/>
                <w:lang w:val="en-US" w:eastAsia="zh-CN" w:bidi="ar"/>
              </w:rPr>
              <w:t xml:space="preserve">稳定性测试：货架需通过专业机构的稳定性测试，在承载额定重量货物时，进行水平推力测试，货架不发生倾斜、倒塌现象，确保货架在实际使用中的安全性。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15.</w:t>
            </w:r>
            <w:r>
              <w:rPr>
                <w:rStyle w:val="868"/>
                <w:b w:val="0"/>
                <w:bCs w:val="0"/>
                <w:sz w:val="18"/>
                <w:szCs w:val="18"/>
                <w:lang w:val="en-US" w:eastAsia="zh-CN" w:bidi="ar"/>
              </w:rPr>
              <w:t xml:space="preserve">立柱高度：高度为 2000mm ,误差范围控制在 ±5mm 以内。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16.</w:t>
            </w:r>
            <w:r>
              <w:rPr>
                <w:rStyle w:val="868"/>
                <w:b w:val="0"/>
                <w:bCs w:val="0"/>
                <w:sz w:val="18"/>
                <w:szCs w:val="18"/>
                <w:lang w:val="en-US" w:eastAsia="zh-CN" w:bidi="ar"/>
              </w:rPr>
              <w:t xml:space="preserve">货架宽度：整体宽度不小于600mm，以满足货物存放与搬运操作空间需求。</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23875"/>
                      <wp:effectExtent l="0" t="0" r="9525" b="9525"/>
                      <wp:docPr id="35"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37" descr="IMG_292"/>
                              <pic:cNvPicPr>
                                <a:picLocks noChangeAspect="1"/>
                              </pic:cNvPicPr>
                              <pic:nvPr/>
                            </pic:nvPicPr>
                            <pic:blipFill>
                              <a:blip r:embed="rId43"/>
                              <a:stretch/>
                            </pic:blipFill>
                            <pic:spPr bwMode="auto">
                              <a:xfrm>
                                <a:off x="0" y="0"/>
                                <a:ext cx="52387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1.2pt;height:41.2pt;mso-wrap-distance-left:0.0pt;mso-wrap-distance-top:0.0pt;mso-wrap-distance-right:0.0pt;mso-wrap-distance-bottom:0.0pt;" stroked="f" strokeweight="0.75pt">
                      <v:path textboxrect="0,0,0,0"/>
                      <v:imagedata r:id="rId43"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重型铁锹</w:t>
            </w:r>
            <w:r>
              <w:rPr>
                <w:rFonts w:hint="eastAsia" w:ascii="黑体" w:hAnsi="宋体" w:eastAsia="黑体" w:cs="黑体"/>
                <w:b w:val="0"/>
                <w:bCs w:val="0"/>
                <w:i w:val="0"/>
                <w:iCs w:val="0"/>
                <w:color w:val="000000"/>
                <w:sz w:val="18"/>
                <w:szCs w:val="18"/>
                <w:u w:val="none"/>
                <w:lang w:val="en-US" w:eastAsia="zh-CN" w:bidi="ar"/>
              </w:rPr>
              <w:br/>
            </w:r>
            <w:r>
              <w:rPr>
                <w:rFonts w:hint="eastAsia" w:ascii="黑体" w:hAnsi="宋体" w:eastAsia="黑体" w:cs="黑体"/>
                <w:b w:val="0"/>
                <w:bCs w:val="0"/>
                <w:i w:val="0"/>
                <w:iCs w:val="0"/>
                <w:color w:val="000000"/>
                <w:sz w:val="18"/>
                <w:szCs w:val="18"/>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8"/>
                <w:b w:val="0"/>
                <w:bCs w:val="0"/>
                <w:sz w:val="18"/>
                <w:szCs w:val="18"/>
                <w:lang w:val="en-US" w:eastAsia="zh-CN" w:bidi="ar"/>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军绿色重型铁锹货架，单层承重500KG。</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200*60*210cm设计原则：遵循安全可靠、结构合理、便于操作的设计理念，确保货架在承载500千克货物时，能长期稳定运行，且方便货物的搬运、堆码与盘点。</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立柱材质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采用优质冷轧钢板，材质型号不低于 Q235B，立柱截面尺寸不小于 80mm×60mm，厚度不低于 3.0mm，确保立柱具有足够的强度和稳定性，抵御货物存放时产生的侧向压力。</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钢板需通过拉伸、弯曲等力学性能检测，屈服强度≥235MPa，抗拉强度≥370MPa，保证立柱在承载状态下不发生变形、断裂。</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横梁材质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选用优质方管或抱焊梁，材质型号不低于 Q235B 的冷轧钢板。方管横梁截面尺寸不小于 50mm×30mm，壁厚不低于 1.8mm；抱焊梁采用两块钢板焊接而成，单块钢板厚度不低于 2.0mm，焊接处需饱满牢固，无虚焊、漏焊现象。横梁的承重能力需通过专业力学计算与测试，确保在承载 500千克货物时，挠度不超过 L/250（L 为横梁长度），避免因过度弯曲影响货架使用寿命与安全性。</w:t>
            </w:r>
            <w:r/>
          </w:p>
          <w:p>
            <w:pPr>
              <w:numPr>
                <w:ilvl w:val="0"/>
                <w:numId w:val="0"/>
              </w:numPr>
              <w:jc w:val="left"/>
              <w:keepLines w:val="0"/>
              <w:keepNext w:val="0"/>
              <w:widowControl/>
              <w:rPr>
                <w:rStyle w:val="868"/>
                <w:b w:val="0"/>
                <w:bCs w:val="0"/>
                <w:sz w:val="18"/>
                <w:szCs w:val="18"/>
                <w:lang w:val="en-US" w:eastAsia="zh-CN" w:bidi="ar"/>
              </w:rPr>
              <w:suppressLineNumbers w:val="0"/>
            </w:pP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层板材质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采用冷轧钢板或花纹钢板，冷轧钢板厚度不低于 0.8mm，花纹钢板厚度不低于 1.0mm，表面平整，无明显凹凸、裂缝等缺陷。</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层板需具备良好的防滑性能，冷轧钢板表面可进行压筋处理，花纹钢板的花纹深度不小于 2mm，防止货物在存放与搬运过程中滑落。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配件材质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货架的连接件（如立柱与横梁的连接锁扣、螺栓等）采用高强度碳钢材质，表面经过镀锌或达克罗处理，增强防锈、防腐蚀能力，确保连接牢固，在货架承载与使用过程中不松动、脱落。货架底部的防撞护脚采用高强度橡胶或塑料材质，具有良好的弹性与耐磨性，能有效缓冲叉车等搬运设备碰撞产生的冲击力，保护货架立柱。</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立柱结构</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立柱采用孔型设计，孔间距为 50mm 或 75mm，便于横梁高度灵活调节，以适应不同高度货物的存放需求。立柱表面需进行防滑处理，防止横梁安装后滑动。立柱底部需焊接底板，底板尺寸不小于 150mm×150mm，厚度不低于 6mm，通过膨胀螺栓与地面牢固固定，确保货架整体稳定性。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横梁结构</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横梁与立柱采用插接式或螺栓连接方式，插接式横梁的挂钩需与立柱孔精准配合，挂钩深度不小于 30mm，确保连接紧密；螺栓连接方式的螺栓规格不小于 M10，且需配备弹簧垫片，防止螺栓松动。横梁两端需设置防脱落装置，如安全销或挡片，防止货物重压下横梁意外脱落，保障作业安全。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层板结构</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层板与横梁采用焊接、铆接或卡扣连接方式，焊接连接的焊缝需均匀连续，无焊穿、气孔等缺陷；铆接连接的铆钉需分布均匀，牢固可靠；卡扣连接的卡扣需具有足够的强度，确保层板与横梁连接稳定，在承载货物时不发生移位。相邻层板之间的间距不小于货物高度加 100mm，以便于货物的存取与搬运操作。</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加工工艺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钢材的切割采用激光切割或数控剪板机切割，确保尺寸精度，切割面平整光滑，无毛刺、豁口等缺陷。立柱、横梁等部件的成型采用冷弯成型工艺，保证部件的形状精度与表面质量，成型后的部件需进行矫直处理，直线度误差不超过 1mm/m。</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表面处理工艺</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货架表面需进行脱脂、酸洗、磷化、钝化等前处理工序，去除表面油污、铁锈等杂质，形成致密的磷化膜，增强涂层附着力。采用静电粉末喷涂工艺进行表面涂装，涂层厚度不低于 60μm，颜色为国际标准安全色（如黄色、灰色等），涂层需均匀平整，无流挂、气泡、漏喷等现象，且具有良好的耐磨性、耐腐蚀性和耐候性，通过盐雾试验时间不低于 800 小时。</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承重标识：货架显著位置需设置清晰、永久的承重标识牌，标明货架的单层额定承重（500 千克）、总承重、使用注意事项等信息，防止超载使用。</w:t>
            </w:r>
            <w:r/>
          </w:p>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防护装置</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货架通道两侧需安装防撞护栏，护栏高度不低于100mm，采用钢管或钢板制作，表面进行防腐处理，能有效防止叉车碰撞货架。高层货架需设置防坠落装置，如防护网或防护栏，防止货物从高处掉落，保障作业人员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14.</w:t>
            </w:r>
            <w:r>
              <w:rPr>
                <w:rStyle w:val="868"/>
                <w:b w:val="0"/>
                <w:bCs w:val="0"/>
                <w:sz w:val="18"/>
                <w:szCs w:val="18"/>
                <w:lang w:val="en-US" w:eastAsia="zh-CN" w:bidi="ar"/>
              </w:rPr>
              <w:t xml:space="preserve">稳定性测试：货架需通过专业机构的稳定性测试，在承载额定重量货物时，进行水平推力测试，货架不发生倾斜、倒塌现象，确保货架在实际使用中的安全性。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15.</w:t>
            </w:r>
            <w:r>
              <w:rPr>
                <w:rStyle w:val="868"/>
                <w:b w:val="0"/>
                <w:bCs w:val="0"/>
                <w:sz w:val="18"/>
                <w:szCs w:val="18"/>
                <w:lang w:val="en-US" w:eastAsia="zh-CN" w:bidi="ar"/>
              </w:rPr>
              <w:t xml:space="preserve">立柱高度：高度为 2000mm ,误差范围控制在 ±5mm 以内。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16.</w:t>
            </w:r>
            <w:r>
              <w:rPr>
                <w:rStyle w:val="868"/>
                <w:b w:val="0"/>
                <w:bCs w:val="0"/>
                <w:sz w:val="18"/>
                <w:szCs w:val="18"/>
                <w:lang w:val="en-US" w:eastAsia="zh-CN" w:bidi="ar"/>
              </w:rPr>
              <w:t xml:space="preserve">横梁长度：误差范围控制在 ±3mm 以内。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17.</w:t>
            </w:r>
            <w:r>
              <w:rPr>
                <w:rStyle w:val="868"/>
                <w:b w:val="0"/>
                <w:bCs w:val="0"/>
                <w:sz w:val="18"/>
                <w:szCs w:val="18"/>
                <w:lang w:val="en-US" w:eastAsia="zh-CN" w:bidi="ar"/>
              </w:rPr>
              <w:t xml:space="preserve">货架宽度：整体宽度不小于600mm，以满足货物存放与搬运操作空间需求。</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23875"/>
                      <wp:effectExtent l="0" t="0" r="9525" b="9525"/>
                      <wp:docPr id="36"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38" descr="IMG_293"/>
                              <pic:cNvPicPr>
                                <a:picLocks noChangeAspect="1"/>
                              </pic:cNvPicPr>
                              <pic:nvPr/>
                            </pic:nvPicPr>
                            <pic:blipFill>
                              <a:blip r:embed="rId44"/>
                              <a:stretch/>
                            </pic:blipFill>
                            <pic:spPr bwMode="auto">
                              <a:xfrm>
                                <a:off x="0" y="0"/>
                                <a:ext cx="52387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1.2pt;height:41.2pt;mso-wrap-distance-left:0.0pt;mso-wrap-distance-top:0.0pt;mso-wrap-distance-right:0.0pt;mso-wrap-distance-bottom:0.0pt;" stroked="f" strokeweight="0.75pt">
                      <v:path textboxrect="0,0,0,0"/>
                      <v:imagedata r:id="rId44"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移动网箱</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军绿色 120*75*100cm上开盖，遵循轻便灵活、结构稳固、便于装卸的设计理念，确保网箱在装载货物时移动顺畅，且能有效保护货物，同时便于堆叠存放，节省仓储空间。</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框架材质：采用优质钢材，确保钢材无裂纹、夹渣等缺陷。框架钢材厚度不低于 1.5mm，保证网箱具有足够的强度和刚性，能承受货物重量与移动过程中的碰撞。钢材表面需进行热镀锌处理，锌层厚度不低于 80μm，形成耐腐蚀保护层，防止生锈，延长网箱使用寿命，适应仓储环境中可能存在的潮湿、灰尘等因素。</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网面材质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选用高强度钢丝网或低碳钢丝焊接网，钢丝直径不小于 3mm，钢丝需经过防腐处理，如镀锌或喷塑，防腐层厚度不低于 0.1mm，防止钢丝生锈断裂。网孔尺寸不大于 50mm×50mm，确保既能有效固定货物，防止小件物品掉落，又便于观察网箱内货物情况。</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脚轮材质：脚轮采用高强度聚氨酯（PU）或尼龙材质，轮子直径不小于 100mm，具有良好的耐磨性、静音性和防滑性。单轮承重能力不低于 200kg，确保网箱在满载状态下移动平稳。脚轮配备刹车装置，刹车可靠，能有效固定网箱，防止其在静止时意外滑动。部分网箱可根据需求配备万向轮和定向轮组合，方便转向与直线移动。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框架结构</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网箱框架采用矩形或方形结构，四角采用焊接或铆接工艺加固，焊接处需饱满牢固，无虚焊、漏焊现象；铆接处铆钉分布均匀，连接紧密，确保框架结构稳定，在承受货物重量和外力冲击时不变形。框架顶部设置加强筋，加强筋间距不大于 300mm，增强网箱顶部的承载能力，便于堆叠存放时分散压力。</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网面：钢丝网通过焊接或螺栓固定在框架上，焊接时焊点均匀，无脱焊现象；螺栓固定时需配备垫片，确保网面安装牢固，不松动、不脱落，能有效约束货物。网面与框架连接处进行包边处理，防止钢丝端部划伤操作人员或损坏货物包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门结构：门的开启角度不小于 120°，方便货物的装卸。活动门配备可靠的锁扣装置，确保关闭时门体稳固，防止货物在移动过程中掉落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长 × 宽 × 高：1200mm×1000mm×750mm，误差范围控制在 ±5mm 以内，可根据实际货物尺寸和仓储空间进行定制，但需保证满足装载和搬运需求。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内部尺寸：网箱内部净尺寸需明确标注，确保货物能顺利放入，且留有一定操作空间。</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承载要求：单个网箱额定载重不低于 500kg，在均匀加载至额定载重时，网箱框架和网面无明显变形、损坏，脚轮运行正常。</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网箱堆叠层数不低于 4 层，在堆叠状态下，底层网箱能承受上层网箱及货物的总重量，且结构稳定，无倒塌风险。</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移动性能：网箱在空载和满载状态下，均可轻松推动，移动过程中无卡顿、异响现象。在平整地面上，单人可推动网箱移动，转向灵活</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防护性能：网箱具备良好的防碰撞、防刮擦性能，在正常使用和搬运过程中，能有效保护内部货物不受损坏。热镀锌和防腐处理的表面能抵御仓储环境中的腐蚀性物质，延长网箱使用寿命。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便捷性：网箱设计便于货物的装卸，可配合叉车、托盘搬运车等设备使用。部分网箱可设计为折叠结构，折叠后体积小巧，便于闲置时的存放和运输，节省空间。</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色泽：热镀锌表面呈现均匀的银白色金属光泽，无明显色差、黑斑等缺陷；喷塑处理的网箱颜色均匀，符合采购方要求，无流挂、气泡等现象。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14.</w:t>
            </w:r>
            <w:r>
              <w:rPr>
                <w:rStyle w:val="868"/>
                <w:b w:val="0"/>
                <w:bCs w:val="0"/>
                <w:sz w:val="18"/>
                <w:szCs w:val="18"/>
                <w:lang w:val="en-US" w:eastAsia="zh-CN" w:bidi="ar"/>
              </w:rPr>
              <w:t xml:space="preserve">表面质量：框架表面平整，无毛刺、焊渣等凸起物；网面平整，钢丝排列整齐，无扭曲、变形现象。脚轮安装牢固，转动灵活，表面无损坏。</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23875"/>
                      <wp:effectExtent l="0" t="0" r="9525" b="9525"/>
                      <wp:docPr id="37"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39" descr="IMG_294"/>
                              <pic:cNvPicPr>
                                <a:picLocks noChangeAspect="1"/>
                              </pic:cNvPicPr>
                              <pic:nvPr/>
                            </pic:nvPicPr>
                            <pic:blipFill>
                              <a:blip r:embed="rId45"/>
                              <a:stretch/>
                            </pic:blipFill>
                            <pic:spPr bwMode="auto">
                              <a:xfrm>
                                <a:off x="0" y="0"/>
                                <a:ext cx="52387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1.2pt;height:41.2pt;mso-wrap-distance-left:0.0pt;mso-wrap-distance-top:0.0pt;mso-wrap-distance-right:0.0pt;mso-wrap-distance-bottom:0.0pt;" stroked="f" strokeweight="0.75pt">
                      <v:path textboxrect="0,0,0,0"/>
                      <v:imagedata r:id="rId45"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军绿色 150*75*100cm上开盖，遵循轻便灵活、结构稳固、便于装卸的设计理念，确保网箱在装载货物时移动顺畅，且能有效保护货物，同时便于堆叠存放，节省仓储空间。</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框架材质：采用优质钢材，确保钢材无裂纹、夹渣等缺陷。框架钢材厚度不低于 1.5mm，保证网箱具有足够的强度和刚性，能承受货物重量与移动过程中的碰撞。</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钢材表面需进行热镀锌处理，锌层厚度不低于 80μm，形成耐腐蚀保护层，防止生锈，延长网箱使用寿命，适应仓储环境中可能存在的潮湿、灰尘等因素。</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网面材质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选用高强度钢丝网或低碳钢丝焊接网，钢丝直径不小于 3mm，钢丝需经过防腐处理，如镀锌或喷塑，防腐层厚度不低于 0.1mm，防止钢丝生锈断裂。网孔尺寸不大于 50mm×50mm，确保既能有效固定货物，防止小件物品掉落，又便于观察网箱内货物情况。</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脚轮材质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脚轮采用高强度聚氨酯（PU）或尼龙材质，轮子直径不小于 100mm，具有良好的耐磨性、静音性和防滑性。单轮承重能力不低于 200kg，确保网箱在满载状态下移动平稳。脚轮配备刹车装置，刹车可靠，能有效固定网箱，防止其在静止时意外滑动。部分网箱可根据需求配备万向轮和定向轮组合，方便转向与直线移动。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框架结构：网箱框架采用矩形或方形结构，四角采用焊接或铆接工艺加固，焊接处需饱满牢固，无虚焊、漏焊现象；铆接处铆钉分布均匀，连接紧密，确保框架结构稳定，在承受货物重量和外力冲击时不变形。框架顶部设置加强筋，加强筋间距不大于 300mm，增强网箱顶部的承载能力，便于堆叠存放时分散压力。</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网面：钢丝网通过焊接或螺栓固定在框架上，焊接时焊点均匀，无脱焊现象；螺栓固定时需配备垫片，确保网面安装牢固，不松动、不脱落，能有效约束货物。网面与框架连接处进行包边处理，防止钢丝端部划伤操作人员或损坏货物包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门结构：门的开启角度不小于 120°，方便货物的装卸。活动门配备可靠的锁扣装置，确保关闭时门体稳固，防止货物在移动过程中掉落。</w:t>
            </w:r>
            <w:r>
              <w:rPr>
                <w:rStyle w:val="868"/>
                <w:b w:val="0"/>
                <w:bCs w:val="0"/>
                <w:sz w:val="18"/>
                <w:szCs w:val="18"/>
                <w:lang w:val="en-US" w:eastAsia="zh-CN" w:bidi="ar"/>
              </w:rPr>
              <w:br/>
            </w:r>
            <w:r>
              <w:rPr>
                <w:rStyle w:val="868"/>
                <w:b w:val="0"/>
                <w:bCs w:val="0"/>
                <w:sz w:val="18"/>
                <w:szCs w:val="18"/>
                <w:lang w:val="en-US" w:eastAsia="zh-CN" w:bidi="ar"/>
              </w:rPr>
              <w:t xml:space="preserve">长 × 宽 × 高：1500mm×1000mm×750mm，误差范围控制在 ±5mm 以内，可根据实际货物尺寸和仓储空间进行定制，但需保证满足装载和搬运需求。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内部尺寸：网箱内部净尺寸需明确标注，确保货物能顺利放入，且留有一定操作空间。</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承载要求：单个网箱额定载重不低于 500kg，在均匀加载至额定载重时，网箱框架和网面无明显变形、损坏，脚轮运行正常。网箱堆叠层数不低于 4 层，在堆叠状态下，底层网箱能承受上层网箱及货物的总重量，且结构稳定，无倒塌风险。</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移动性能：网箱在空载和满载状态下，均可轻松推动，移动过程中无卡顿、异响现象。在平整地面上，单人可推动网箱移动，转向灵活。</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防护性能：网箱具备良好的防碰撞、防刮擦性能，在正常使用和搬运过程中，能有效保护内部货物不受损坏。热镀锌和防腐处理的表面能抵御仓储环境中的腐蚀性物质，延长网箱使用寿命。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便捷性：网箱设计便于货物的装卸，可配合叉车、托盘搬运车等设备使用。部分网箱可设计为折叠结构，折叠后体积小巧，便于闲置时的存放和运输，节省空间。</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色泽：热镀锌表面呈现均匀的银白色金属光泽，无明显色差、黑斑等缺陷；喷塑处理的网箱颜色均匀，符合采购方要求，无流挂、气泡等现象。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14.</w:t>
            </w:r>
            <w:r>
              <w:rPr>
                <w:rStyle w:val="868"/>
                <w:b w:val="0"/>
                <w:bCs w:val="0"/>
                <w:sz w:val="18"/>
                <w:szCs w:val="18"/>
                <w:lang w:val="en-US" w:eastAsia="zh-CN" w:bidi="ar"/>
              </w:rPr>
              <w:t xml:space="preserve">表面质量：框架表面平整，无毛刺、焊渣等凸起物；网面平整，钢丝排列整齐，无扭曲、变形现象。脚轮安装牢固，转动灵活，表面无损坏。</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23875"/>
                      <wp:effectExtent l="0" t="0" r="9525" b="9525"/>
                      <wp:docPr id="38"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40" descr="IMG_295"/>
                              <pic:cNvPicPr>
                                <a:picLocks noChangeAspect="1"/>
                              </pic:cNvPicPr>
                              <pic:nvPr/>
                            </pic:nvPicPr>
                            <pic:blipFill>
                              <a:blip r:embed="rId46"/>
                              <a:stretch/>
                            </pic:blipFill>
                            <pic:spPr bwMode="auto">
                              <a:xfrm>
                                <a:off x="0" y="0"/>
                                <a:ext cx="52387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1.2pt;height:41.2pt;mso-wrap-distance-left:0.0pt;mso-wrap-distance-top:0.0pt;mso-wrap-distance-right:0.0pt;mso-wrap-distance-bottom:0.0pt;" stroked="f" strokeweight="0.75pt">
                      <v:path textboxrect="0,0,0,0"/>
                      <v:imagedata r:id="rId46"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军绿色 200*75*100cm上开盖，遵循轻便灵活、结构稳固、便于装卸的设计理念，确保网箱在装载货物时移动顺畅，且能有效保护货物，同时便于堆叠存放，节省仓储空间。</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框架材质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采用优质钢材，确保钢材无裂纹、夹渣等缺陷。框架钢材厚度不低于 1.5mm，保证网箱具有足够的强度和刚性，能承受货物重量与移动过程中的碰撞。钢材表面需进行热镀锌处理，锌层厚度不低于 80μm，形成耐腐蚀保护层，防止生锈，延长网箱使用寿命，适应仓储环境中可能存在的潮湿、灰尘等因素。</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网面材质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选用高强度钢丝网或低碳钢丝焊接网，钢丝直径不小于 3mm，钢丝需经过防腐处理，如镀锌或喷塑，防腐层厚度不低于 0.1mm，防止钢丝生锈断裂。网孔尺寸不大于 50mm×50mm，确保既能有效固定货物，防止小件物品掉落，又便于观察网箱内货物情况。</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脚轮材质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脚轮采用高强度聚氨酯（PU）或尼龙材质，轮子直径不小于 100mm，具有良好的耐磨性、静音性和防滑性。单轮承重能力不低于 200kg，确保网箱在满载状态下移动平稳。脚轮配备刹车装置，刹车可靠，能有效固定网箱，防止其在静止时意外滑动。部分网箱可根据需求配备万向轮和定向轮组合，方便转向与直线移动。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框架结构</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网箱框架采用矩形或方形结构，四角采用焊接或铆接工艺加固，焊接处需饱满牢固，无虚焊、漏焊现象；铆接处铆钉分布均匀，连接紧密，确保框架结构稳定，在承受货物重量和外力冲击时不变形。框架顶部设置加强筋，加强筋间距不大于 300mm，增强网箱顶部的承载能力，便于堆叠存放时分散压力。</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网面：钢丝网通过焊接或螺栓固定在框架上，焊接时焊点均匀，无脱焊现象；螺栓固定时需配备垫片，确保网面安装牢固，不松动、不脱落，能有效约束货物。网面与框架连接处进行包边处理，防止钢丝端部划伤操作人员或损坏货物包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门结构：门的开启角度不小于 120°，方便货物的装卸。活动门配备可靠的锁扣装置，确保关闭时门体稳固，防止货物在移动过程中掉落。</w:t>
            </w:r>
            <w:r>
              <w:rPr>
                <w:rStyle w:val="868"/>
                <w:b w:val="0"/>
                <w:bCs w:val="0"/>
                <w:sz w:val="18"/>
                <w:szCs w:val="18"/>
                <w:lang w:val="en-US" w:eastAsia="zh-CN" w:bidi="ar"/>
              </w:rPr>
              <w:br/>
            </w:r>
            <w:r>
              <w:rPr>
                <w:rStyle w:val="868"/>
                <w:b w:val="0"/>
                <w:bCs w:val="0"/>
                <w:sz w:val="18"/>
                <w:szCs w:val="18"/>
                <w:lang w:val="en-US" w:eastAsia="zh-CN" w:bidi="ar"/>
              </w:rPr>
              <w:t xml:space="preserve">长 × 宽 × 高：2000mm×1000mm×750mm，误差范围控制在 ±5mm 以内，可根据实际货物尺寸和仓储空间进行定制，但需保证满足装载和搬运需求。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内部尺寸：网箱内部净尺寸需明确标注，确保货物能顺利放入，且留有一定操作空间。</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承载要求：单个网箱额定载重不低于 500kg，在均匀加载至额定载重时，网箱框架和网面无明显变形、损坏，脚轮运行正常。网箱堆叠层数不低于 4 层，在堆叠状态下，底层网箱能承受上层网箱及货物的总重量，且结构稳定，无倒塌风险。</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移动性能：网箱在空载和满载状态下，均可轻松推动，移动过程中无卡顿、异响现象。在平整地面上，单人可推动网箱移动，转向灵活。</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防护性能：网箱具备良好的防碰撞、防刮擦性能，在正常使用和搬运过程中，能有效保护内部货物不受损坏。热镀锌和防腐处理的表面能抵御仓储环境中的腐蚀性物质，延长网箱使用寿命。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便捷性：网箱设计便于货物的装卸，可配合叉车、托盘搬运车等设备使用。部分网箱可设计为折叠结构，折叠后体积小巧，便于闲置时的存放和运输，节省空间。</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色泽：热镀锌表面呈现均匀的银白色金属光泽，无明显色差、黑斑等缺陷；喷塑处理的网箱颜色均匀，符合采购方要求，无流挂、气泡等现象。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14.</w:t>
            </w:r>
            <w:r>
              <w:rPr>
                <w:rStyle w:val="868"/>
                <w:b w:val="0"/>
                <w:bCs w:val="0"/>
                <w:sz w:val="18"/>
                <w:szCs w:val="18"/>
                <w:lang w:val="en-US" w:eastAsia="zh-CN" w:bidi="ar"/>
              </w:rPr>
              <w:t xml:space="preserve">表面质量：框架表面平整，无毛刺、焊渣等凸起物；网面平整，钢丝排列整齐，无扭曲、变形现象。脚轮安装牢固，转动灵活，表面无损坏。</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33400"/>
                      <wp:effectExtent l="0" t="0" r="9525" b="0"/>
                      <wp:docPr id="39"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41" descr="IMG_296"/>
                              <pic:cNvPicPr>
                                <a:picLocks noChangeAspect="1"/>
                              </pic:cNvPicPr>
                              <pic:nvPr/>
                            </pic:nvPicPr>
                            <pic:blipFill>
                              <a:blip r:embed="rId47"/>
                              <a:stretch/>
                            </pic:blipFill>
                            <pic:spPr bwMode="auto">
                              <a:xfrm>
                                <a:off x="0" y="0"/>
                                <a:ext cx="5238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1.2pt;height:42.0pt;mso-wrap-distance-left:0.0pt;mso-wrap-distance-top:0.0pt;mso-wrap-distance-right:0.0pt;mso-wrap-distance-bottom:0.0pt;" stroked="f" strokeweight="0.75pt">
                      <v:path textboxrect="0,0,0,0"/>
                      <v:imagedata r:id="rId4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移动托盘</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外形尺寸： 200*70*15cm，，尺寸偏差控制在 ±5mm 以内，以确保托盘在仓储设备（如货架、输送线、堆垛机等）中能够顺畅运行，与各类设备的兼容性良好，避免因尺寸偏差导致的卡滞、碰撞等问题，保证物流作业的连续性和高效性。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高度：托盘高度为 150mm，偏差范围在 ±3mm，此高度设计便于叉车、托盘搬运车等装卸设备的叉取操作，同时能满足仓储空间的合理利用，在堆叠存储时保证稳定性，且与仓库的整体空间布局相适配 。</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托盘主体材质：采用高密度聚乙烯（HDPE）全新料，要求材料具有良好的抗冲击性、耐磨损性和耐腐蚀性，确保在频繁的仓储搬运作业及各种仓储环境（如常温、冷藏等）下，托盘不易损坏，延长使用寿命。原材料应符合相关国家标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加强筋材质：托盘内部加强筋采用与主体相同的 HDPE 材料，通过优化加强筋的布局和结构设计，增强托盘的整体承载性能。加强筋的厚度不小于主体板材厚度的 1.2 倍，确保在承载重物时，托盘不会因局部强度不足而发生变形或损坏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动载能力：托盘的动载能力不低于 1000kg，即在使用电动叉车或手动液压托盘搬运车进行搬运作业时，托盘能够稳定承载 2000kg 的货物，且在搬运过程中不发生任何结构损坏、变形超过允许范围（托盘表面变形不超过 10mm，整体倾斜度不超过 3°）等情况。动载测试需按照相关行业标准进行，如 ISO 8611-1:2016《托盘性能要求和试验选择 第 1部分：平托盘》中规定的动载试验方法。</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静载能力：静载能力要求达到 3000kg，当托盘处于静止状态，在其上面均匀堆放货物时，能够承受 3000kg 的重量，且在规定的时间内（如 72 小时），托盘无明显变形（托盘表面变形不超过 15mm，整体结构无开裂、破损等情况）。</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表面设计：托盘表面应设计有防滑纹，防滑纹的深度不小于 2mm，宽度不小于 3mm，且均匀分布在托盘表面，以增加货物与托盘之间的摩擦力，防止货物在搬运和存储过程中发生滑动，确保货物的安全。同时，托盘表面应平整光滑，无毛刺、飞边等缺陷，避免对货物包装造成损坏 。</w:t>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底部设计：托盘底部的支撑脚高度一致，偏差不超过 1mm，保证托盘在放置时的平稳性。支撑脚的数量不少于 6 个，分布均匀，每个支撑脚的面积不小于 100cm</w:t>
            </w:r>
            <w:r>
              <w:rPr>
                <w:rStyle w:val="863"/>
                <w:b w:val="0"/>
                <w:bCs w:val="0"/>
                <w:sz w:val="18"/>
                <w:szCs w:val="18"/>
                <w:lang w:val="en-US" w:eastAsia="zh-CN" w:bidi="ar"/>
              </w:rPr>
              <w:t xml:space="preserve">²</w:t>
            </w:r>
            <w:r>
              <w:rPr>
                <w:rStyle w:val="868"/>
                <w:b w:val="0"/>
                <w:bCs w:val="0"/>
                <w:sz w:val="18"/>
                <w:szCs w:val="18"/>
                <w:lang w:val="en-US" w:eastAsia="zh-CN" w:bidi="ar"/>
              </w:rPr>
              <w:t xml:space="preserve">，以分散托盘所承受的重量，防止因局部压力过大导致地面损坏或托盘自身损坏。支撑脚的材质与主体材质相同，并进行适当的加厚处理，以增强其耐磨性和承载能力 。</w:t>
            </w:r>
            <w:r>
              <w:rPr>
                <w:rStyle w:val="869"/>
                <w:rFonts w:eastAsia="黑体"/>
                <w:b w:val="0"/>
                <w:bCs w:val="0"/>
                <w:sz w:val="18"/>
                <w:szCs w:val="1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52450"/>
                      <wp:effectExtent l="0" t="0" r="9525" b="11430"/>
                      <wp:docPr id="40"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42" descr="IMG_297"/>
                              <pic:cNvPicPr>
                                <a:picLocks noChangeAspect="1"/>
                              </pic:cNvPicPr>
                              <pic:nvPr/>
                            </pic:nvPicPr>
                            <pic:blipFill>
                              <a:blip r:embed="rId48"/>
                              <a:stretch/>
                            </pic:blipFill>
                            <pic:spPr bwMode="auto">
                              <a:xfrm>
                                <a:off x="0" y="0"/>
                                <a:ext cx="5238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1.2pt;height:43.5pt;mso-wrap-distance-left:0.0pt;mso-wrap-distance-top:0.0pt;mso-wrap-distance-right:0.0pt;mso-wrap-distance-bottom:0.0pt;" stroked="f" strokeweight="0.75pt">
                      <v:path textboxrect="0,0,0,0"/>
                      <v:imagedata r:id="rId48"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滚塑箱</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8"/>
                <w:b w:val="0"/>
                <w:bCs w:val="0"/>
                <w:sz w:val="18"/>
                <w:szCs w:val="18"/>
                <w:lang w:val="en-US" w:eastAsia="zh-CN" w:bidi="ar"/>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军绿色 外尺寸：90*60*50cm，尺寸误差需控制在 ±3mm 以内。确保箱体在仓储货架摆放、物流运输堆叠及设备装载时能精准适配，不出现空间浪费或因尺寸不符导致无法使用的情况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壁厚：箱体壁厚均匀，平均壁厚不小于 5mm，拐角及加强部位壁厚不小于 8mm，以保障箱体整体强度和刚性，在承受外力冲击、重压时不易破裂变形。</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主体材质：采用线性低密度聚乙烯（LLDPE）食品级全新料，具备优异的耐化学腐蚀性、耐候性和抗冲击性能，可适应不同温度环境（-20℃ - 60℃）下使用。材料需符合 GB 4806.7-2016《食品安全国家标准 食品接触用塑料材料及制品》等相关国家标准。</w:t>
            </w:r>
            <w:r/>
          </w:p>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静态承载：单个箱体静态承载能力不低于 100kg，在箱体顶部均匀加载 100kg 重物，持续 24 小时后，箱体无明显变形（变形量不超过 5mm）、无裂缝及破损情况，确保堆叠存放时的稳定性和安全性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动态承载：箱体动态承载能力不低于 80kg，在使用搬运工具（如手推车、叉车）搬运装有80kg 物品的箱体过程中，箱体结构完整，无部件脱落、开裂等现象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密封设计：箱体配备硅胶密封条，通过箱盖与箱体扣合方式实现密封，达到 IP65 防护等级，确保在潮湿、淋雨、冲洗等环境下，箱内物品不被水浸湿，且能有效防止灰尘进入。</w:t>
            </w:r>
            <w:r>
              <w:rPr>
                <w:rStyle w:val="868"/>
                <w:b/>
                <w:bCs/>
                <w:sz w:val="18"/>
                <w:szCs w:val="18"/>
                <w:u w:val="single"/>
                <w:lang w:val="en-US" w:eastAsia="zh-CN" w:bidi="ar"/>
              </w:rPr>
              <w:br/>
            </w:r>
            <w:r>
              <w:rPr>
                <w:rStyle w:val="868"/>
                <w:rFonts w:hint="eastAsia"/>
                <w:b w:val="0"/>
                <w:bCs w:val="0"/>
                <w:sz w:val="18"/>
                <w:szCs w:val="18"/>
                <w:u w:val="none"/>
                <w:lang w:val="en-US" w:eastAsia="zh-CN" w:bidi="ar"/>
              </w:rPr>
              <w:t xml:space="preserve">7.</w:t>
            </w:r>
            <w:r>
              <w:rPr>
                <w:rStyle w:val="868"/>
                <w:b w:val="0"/>
                <w:bCs w:val="0"/>
                <w:sz w:val="18"/>
                <w:szCs w:val="18"/>
                <w:lang w:val="en-US" w:eastAsia="zh-CN" w:bidi="ar"/>
              </w:rPr>
              <w:t xml:space="preserve">加强结构：箱体四周及底部设置加强筋，顶部和底部设计防滑纹路，加强筋宽度不小于 20mm，厚度不小于 3mm。加强筋的设计增强箱体抗压强度，防滑纹路则防止箱体堆叠时滑动，提高搬运和存储的安全性 。</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把手设计：箱体两侧配备高强度塑料把手，把手需通过承重测试，在悬挂 50kg 重物情况下，持续 10 分钟无断裂、脱落现象。把手表面需光滑，无尖锐边角，便于操作人员抓握搬运 。</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14350"/>
                      <wp:effectExtent l="0" t="0" r="9525" b="3810"/>
                      <wp:docPr id="41"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43" descr="IMG_298"/>
                              <pic:cNvPicPr>
                                <a:picLocks noChangeAspect="1"/>
                              </pic:cNvPicPr>
                              <pic:nvPr/>
                            </pic:nvPicPr>
                            <pic:blipFill>
                              <a:blip r:embed="rId49"/>
                              <a:stretch/>
                            </pic:blipFill>
                            <pic:spPr bwMode="auto">
                              <a:xfrm>
                                <a:off x="0" y="0"/>
                                <a:ext cx="5238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1.2pt;height:40.5pt;mso-wrap-distance-left:0.0pt;mso-wrap-distance-top:0.0pt;mso-wrap-distance-right:0.0pt;mso-wrap-distance-bottom:0.0pt;" stroked="f" strokeweight="0.75pt">
                      <v:path textboxrect="0,0,0,0"/>
                      <v:imagedata r:id="rId49"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8"/>
                <w:b w:val="0"/>
                <w:bCs w:val="0"/>
                <w:sz w:val="18"/>
                <w:szCs w:val="18"/>
                <w:lang w:val="en-US" w:eastAsia="zh-CN" w:bidi="ar"/>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军绿色 外尺寸：95*68*65cm，尺寸误差需控制在 ±3mm 以内。确保箱体在仓储货架摆放、物流运输堆叠及设备装载时能精准适配，不出现空间浪费或因尺寸不符导致无法使用的情况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壁厚：箱体壁厚均匀，平均壁厚不小于 5mm，拐角及加强部位壁厚不小于 8mm，以保障箱体整体强度和刚性，在承受外力冲击、重压时不易破裂变形。</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主体材质：采用线性低密度聚乙烯（LLDPE）食品级全新料，具备优异的耐化学腐蚀性、耐候性和抗冲击性能，可适应不同温度环境（-20℃ - 60℃）下使用。材料需符合 GB 4806.7-2016《食品安全国家标准食品接触用塑料材料及制品》等相关国家标准。</w:t>
            </w:r>
            <w:r/>
          </w:p>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静态承载：单个箱体静态承载能力不低于 100kg，在箱体顶部均匀加载 100kg 重物，持续 24 小时后，箱体无明显变形（变形量不超过 5mm）、无裂缝及破损情况，确保堆叠存放时的稳定性和安全性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动态承载：箱体动态承载能力不低于 80kg，在使用搬运工具（如手推车、叉车）搬运装有80kg 物品的箱体过程中，箱体结构完整，无部件脱落、开裂等现象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密封设计：箱体配备硅胶密封条，通过箱盖与箱体扣合方式实现密封，达到 IP65 防护等级，确保在潮湿、淋雨、冲洗等环境下，箱内物品不被水浸湿，且能有效防止灰尘进入。</w:t>
            </w:r>
            <w:r>
              <w:rPr>
                <w:rStyle w:val="868"/>
                <w:b/>
                <w:bCs/>
                <w:sz w:val="18"/>
                <w:szCs w:val="18"/>
                <w:u w:val="single"/>
                <w:lang w:val="en-US" w:eastAsia="zh-CN" w:bidi="ar"/>
              </w:rPr>
              <w:br/>
            </w:r>
            <w:r>
              <w:rPr>
                <w:rStyle w:val="868"/>
                <w:rFonts w:hint="eastAsia"/>
                <w:b w:val="0"/>
                <w:bCs w:val="0"/>
                <w:sz w:val="18"/>
                <w:szCs w:val="18"/>
                <w:u w:val="none"/>
                <w:lang w:val="en-US" w:eastAsia="zh-CN" w:bidi="ar"/>
              </w:rPr>
              <w:t xml:space="preserve">7.</w:t>
            </w:r>
            <w:r>
              <w:rPr>
                <w:rStyle w:val="868"/>
                <w:b w:val="0"/>
                <w:bCs w:val="0"/>
                <w:sz w:val="18"/>
                <w:szCs w:val="18"/>
                <w:lang w:val="en-US" w:eastAsia="zh-CN" w:bidi="ar"/>
              </w:rPr>
              <w:t xml:space="preserve">加强结构：箱体四周及底部设置加强筋，顶部和底部设计防滑纹路，加强筋宽度不小于 20mm，厚度不小于 3mm。加强筋的设计增强箱体抗压强度，防滑纹路则防止箱体堆叠时滑动，提高搬运和存储的安全性 。</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把手设计：箱体两侧配备高强度塑料把手，把手需通过承重测试，在悬挂 50kg 重物情况下，持续 10 分钟无断裂、脱落现象。把手表面需光滑，无尖锐边角，便于操作人员抓握搬运 。</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76250"/>
                      <wp:effectExtent l="0" t="0" r="9525" b="11430"/>
                      <wp:docPr id="42"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44" descr="IMG_299"/>
                              <pic:cNvPicPr>
                                <a:picLocks noChangeAspect="1"/>
                              </pic:cNvPicPr>
                              <pic:nvPr/>
                            </pic:nvPicPr>
                            <pic:blipFill>
                              <a:blip r:embed="rId50"/>
                              <a:stretch/>
                            </pic:blipFill>
                            <pic:spPr bwMode="auto">
                              <a:xfrm>
                                <a:off x="0" y="0"/>
                                <a:ext cx="523875"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1.2pt;height:37.5pt;mso-wrap-distance-left:0.0pt;mso-wrap-distance-top:0.0pt;mso-wrap-distance-right:0.0pt;mso-wrap-distance-bottom:0.0pt;" stroked="f" strokeweight="0.75pt">
                      <v:path textboxrect="0,0,0,0"/>
                      <v:imagedata r:id="rId50"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8"/>
                <w:b w:val="0"/>
                <w:bCs w:val="0"/>
                <w:sz w:val="18"/>
                <w:szCs w:val="18"/>
                <w:highlight w:val="none"/>
                <w:lang w:val="en-US" w:eastAsia="zh-CN" w:bidi="ar"/>
              </w:rPr>
              <w:suppressLineNumbers w:val="0"/>
            </w:pPr>
            <w:r>
              <w:rPr>
                <w:rStyle w:val="868"/>
                <w:rFonts w:hint="eastAsia"/>
                <w:b w:val="0"/>
                <w:bCs w:val="0"/>
                <w:sz w:val="18"/>
                <w:szCs w:val="18"/>
                <w:highlight w:val="none"/>
                <w:lang w:val="en-US" w:eastAsia="zh-CN" w:bidi="ar"/>
              </w:rPr>
              <w:t xml:space="preserve">1.</w:t>
            </w:r>
            <w:r>
              <w:rPr>
                <w:rStyle w:val="868"/>
                <w:b w:val="0"/>
                <w:bCs w:val="0"/>
                <w:sz w:val="18"/>
                <w:szCs w:val="18"/>
                <w:highlight w:val="none"/>
                <w:lang w:val="en-US" w:eastAsia="zh-CN" w:bidi="ar"/>
              </w:rPr>
              <w:t xml:space="preserve">军绿色 外尺寸：</w:t>
            </w:r>
            <w:r>
              <w:rPr>
                <w:rStyle w:val="868"/>
                <w:rFonts w:hint="eastAsia"/>
                <w:b w:val="0"/>
                <w:bCs w:val="0"/>
                <w:sz w:val="18"/>
                <w:szCs w:val="18"/>
                <w:highlight w:val="none"/>
                <w:lang w:val="en-US" w:eastAsia="zh-CN" w:bidi="ar"/>
              </w:rPr>
              <w:t xml:space="preserve">950</w:t>
            </w:r>
            <w:r>
              <w:rPr>
                <w:rStyle w:val="868"/>
                <w:b w:val="0"/>
                <w:bCs w:val="0"/>
                <w:sz w:val="18"/>
                <w:szCs w:val="18"/>
                <w:highlight w:val="none"/>
                <w:lang w:val="en-US" w:eastAsia="zh-CN" w:bidi="ar"/>
              </w:rPr>
              <w:t xml:space="preserve">*6</w:t>
            </w:r>
            <w:r>
              <w:rPr>
                <w:rStyle w:val="868"/>
                <w:rFonts w:hint="eastAsia"/>
                <w:b w:val="0"/>
                <w:bCs w:val="0"/>
                <w:sz w:val="18"/>
                <w:szCs w:val="18"/>
                <w:highlight w:val="none"/>
                <w:lang w:val="en-US" w:eastAsia="zh-CN" w:bidi="ar"/>
              </w:rPr>
              <w:t xml:space="preserve">80</w:t>
            </w:r>
            <w:r>
              <w:rPr>
                <w:rStyle w:val="868"/>
                <w:b w:val="0"/>
                <w:bCs w:val="0"/>
                <w:sz w:val="18"/>
                <w:szCs w:val="18"/>
                <w:highlight w:val="none"/>
                <w:lang w:val="en-US" w:eastAsia="zh-CN" w:bidi="ar"/>
              </w:rPr>
              <w:t xml:space="preserve">*</w:t>
            </w:r>
            <w:r>
              <w:rPr>
                <w:rStyle w:val="868"/>
                <w:rFonts w:hint="eastAsia"/>
                <w:b w:val="0"/>
                <w:bCs w:val="0"/>
                <w:sz w:val="18"/>
                <w:szCs w:val="18"/>
                <w:highlight w:val="none"/>
                <w:lang w:val="en-US" w:eastAsia="zh-CN" w:bidi="ar"/>
              </w:rPr>
              <w:t xml:space="preserve">650</w:t>
            </w:r>
            <w:r>
              <w:rPr>
                <w:rStyle w:val="868"/>
                <w:b w:val="0"/>
                <w:bCs w:val="0"/>
                <w:sz w:val="18"/>
                <w:szCs w:val="18"/>
                <w:highlight w:val="none"/>
                <w:lang w:val="en-US" w:eastAsia="zh-CN" w:bidi="ar"/>
              </w:rPr>
              <w:t xml:space="preserve">cm尺寸误差需控制在 ±3mm 以内。确保箱体在仓储货架摆放、物流运输堆叠及设备装载时能精准适配，不出现空间浪费或因尺寸不符导致无法使用的情况 。</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2.</w:t>
            </w:r>
            <w:r>
              <w:rPr>
                <w:rStyle w:val="868"/>
                <w:b w:val="0"/>
                <w:bCs w:val="0"/>
                <w:sz w:val="18"/>
                <w:szCs w:val="18"/>
                <w:highlight w:val="none"/>
                <w:lang w:val="en-US" w:eastAsia="zh-CN" w:bidi="ar"/>
              </w:rPr>
              <w:t xml:space="preserve">壁厚：箱体壁厚均匀，平均壁厚不小于 5mm，拐角及加强部位壁厚不小于 8mm，以保障箱体整体强度和刚性，在承受外力冲击、重压时不易破裂变形。</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3.</w:t>
            </w:r>
            <w:r>
              <w:rPr>
                <w:rStyle w:val="868"/>
                <w:b w:val="0"/>
                <w:bCs w:val="0"/>
                <w:sz w:val="18"/>
                <w:szCs w:val="18"/>
                <w:highlight w:val="none"/>
                <w:lang w:val="en-US" w:eastAsia="zh-CN" w:bidi="ar"/>
              </w:rPr>
              <w:t xml:space="preserve">主体材质：采用线性低密度聚乙烯（LLDPE）食品级全新料，具备优异的耐化学腐蚀性、耐候性和抗冲击性能，可适应不同温度环境（-20℃ - 60℃）下使用。材料需符合 GB 4806.7-2016《食品安全国家标准 食品接触用塑料材料及制品》等相关国家标准。</w:t>
            </w:r>
            <w:r/>
          </w:p>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Style w:val="868"/>
                <w:rFonts w:hint="eastAsia"/>
                <w:b w:val="0"/>
                <w:bCs w:val="0"/>
                <w:sz w:val="18"/>
                <w:szCs w:val="18"/>
                <w:highlight w:val="none"/>
                <w:lang w:val="en-US" w:eastAsia="zh-CN" w:bidi="ar"/>
              </w:rPr>
              <w:t xml:space="preserve">4.</w:t>
            </w:r>
            <w:r>
              <w:rPr>
                <w:rStyle w:val="868"/>
                <w:b w:val="0"/>
                <w:bCs w:val="0"/>
                <w:sz w:val="18"/>
                <w:szCs w:val="18"/>
                <w:highlight w:val="none"/>
                <w:lang w:val="en-US" w:eastAsia="zh-CN" w:bidi="ar"/>
              </w:rPr>
              <w:t xml:space="preserve">静态承载：单个箱体静态承载能力不低于 100kg，在箱体顶部均匀加载 100kg 重物，持续 24 小时后，箱体无明显变形（变形量不超过 5mm）、无裂缝及破损情况，确保堆叠存放时的稳定性和安全性 。</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5.</w:t>
            </w:r>
            <w:r>
              <w:rPr>
                <w:rStyle w:val="868"/>
                <w:b w:val="0"/>
                <w:bCs w:val="0"/>
                <w:sz w:val="18"/>
                <w:szCs w:val="18"/>
                <w:highlight w:val="none"/>
                <w:lang w:val="en-US" w:eastAsia="zh-CN" w:bidi="ar"/>
              </w:rPr>
              <w:t xml:space="preserve">动态承载：箱体动态承载能力不低于 100kg，在使用搬运工具（如手推车、叉车）搬运装有100kg 物品的箱体过程中，箱体结构完整，无部件脱落、开裂等现象 。</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6.</w:t>
            </w:r>
            <w:r>
              <w:rPr>
                <w:rStyle w:val="868"/>
                <w:b w:val="0"/>
                <w:bCs w:val="0"/>
                <w:sz w:val="18"/>
                <w:szCs w:val="18"/>
                <w:highlight w:val="none"/>
                <w:lang w:val="en-US" w:eastAsia="zh-CN" w:bidi="ar"/>
              </w:rPr>
              <w:t xml:space="preserve">密封设计：箱体配备硅胶密封条，通过箱盖与箱体扣合方式实现密封，达到 IP65 防护等级，确保在潮湿、淋雨、冲洗等环境下，箱内物品不被水浸湿，且能有效防止灰尘进入。</w:t>
            </w:r>
            <w:r>
              <w:rPr>
                <w:rStyle w:val="868"/>
                <w:b/>
                <w:bCs/>
                <w:sz w:val="18"/>
                <w:szCs w:val="18"/>
                <w:highlight w:val="none"/>
                <w:u w:val="single"/>
                <w:lang w:val="en-US" w:eastAsia="zh-CN" w:bidi="ar"/>
              </w:rPr>
              <w:br/>
            </w:r>
            <w:r>
              <w:rPr>
                <w:rStyle w:val="868"/>
                <w:rFonts w:hint="eastAsia"/>
                <w:b w:val="0"/>
                <w:bCs w:val="0"/>
                <w:sz w:val="18"/>
                <w:szCs w:val="18"/>
                <w:highlight w:val="none"/>
                <w:u w:val="none"/>
                <w:lang w:val="en-US" w:eastAsia="zh-CN" w:bidi="ar"/>
              </w:rPr>
              <w:t xml:space="preserve">7.</w:t>
            </w:r>
            <w:r>
              <w:rPr>
                <w:rStyle w:val="868"/>
                <w:b w:val="0"/>
                <w:bCs w:val="0"/>
                <w:sz w:val="18"/>
                <w:szCs w:val="18"/>
                <w:highlight w:val="none"/>
                <w:lang w:val="en-US" w:eastAsia="zh-CN" w:bidi="ar"/>
              </w:rPr>
              <w:t xml:space="preserve">加强结构：箱体四周及底部设置加强筋，顶部和底部设计防滑纹路，加强筋宽度不小于 20mm，厚度不小于 3mm。加强筋的设计增强箱体抗压强度，防滑纹路则防止箱体堆叠时滑动，提高搬运和存储的安全性 。</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8.</w:t>
            </w:r>
            <w:r>
              <w:rPr>
                <w:rStyle w:val="868"/>
                <w:b w:val="0"/>
                <w:bCs w:val="0"/>
                <w:sz w:val="18"/>
                <w:szCs w:val="18"/>
                <w:highlight w:val="none"/>
                <w:lang w:val="en-US" w:eastAsia="zh-CN" w:bidi="ar"/>
              </w:rPr>
              <w:t xml:space="preserve">把手设计：箱体两侧配备高强度塑料把手，把手需通过承重测试，在悬挂 80kg 重物情况下，持续 10 分钟无断裂、脱落现象。把手表面需光滑，无尖锐边角，便于操作人员抓握搬运 。</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95300"/>
                      <wp:effectExtent l="0" t="0" r="9525" b="7620"/>
                      <wp:docPr id="43"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45" descr="IMG_300"/>
                              <pic:cNvPicPr>
                                <a:picLocks noChangeAspect="1"/>
                              </pic:cNvPicPr>
                              <pic:nvPr/>
                            </pic:nvPicPr>
                            <pic:blipFill>
                              <a:blip r:embed="rId51"/>
                              <a:stretch/>
                            </pic:blipFill>
                            <pic:spPr bwMode="auto">
                              <a:xfrm>
                                <a:off x="0" y="0"/>
                                <a:ext cx="52387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1.2pt;height:39.0pt;mso-wrap-distance-left:0.0pt;mso-wrap-distance-top:0.0pt;mso-wrap-distance-right:0.0pt;mso-wrap-distance-bottom:0.0pt;" stroked="f" strokeweight="0.75pt">
                      <v:path textboxrect="0,0,0,0"/>
                      <v:imagedata r:id="rId51"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8"/>
                <w:b w:val="0"/>
                <w:bCs w:val="0"/>
                <w:sz w:val="18"/>
                <w:szCs w:val="18"/>
                <w:highlight w:val="none"/>
                <w:lang w:val="en-US" w:eastAsia="zh-CN" w:bidi="ar"/>
              </w:rPr>
              <w:suppressLineNumbers w:val="0"/>
            </w:pPr>
            <w:r>
              <w:rPr>
                <w:rStyle w:val="868"/>
                <w:rFonts w:hint="eastAsia"/>
                <w:b w:val="0"/>
                <w:bCs w:val="0"/>
                <w:sz w:val="18"/>
                <w:szCs w:val="18"/>
                <w:highlight w:val="none"/>
                <w:lang w:val="en-US" w:eastAsia="zh-CN" w:bidi="ar"/>
              </w:rPr>
              <w:t xml:space="preserve">1.</w:t>
            </w:r>
            <w:r>
              <w:rPr>
                <w:rStyle w:val="868"/>
                <w:b w:val="0"/>
                <w:bCs w:val="0"/>
                <w:sz w:val="18"/>
                <w:szCs w:val="18"/>
                <w:highlight w:val="none"/>
                <w:lang w:val="en-US" w:eastAsia="zh-CN" w:bidi="ar"/>
              </w:rPr>
              <w:t xml:space="preserve">军绿色 外尺寸：100*65*70cm尺寸误差需控制在 ±3mm 以内。确保箱体在仓储货架摆放、物流运输堆叠及设备装载时能精准适配，不出现空间浪费或因尺寸不符导致无法使用的情况 。</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2.</w:t>
            </w:r>
            <w:r>
              <w:rPr>
                <w:rStyle w:val="868"/>
                <w:b w:val="0"/>
                <w:bCs w:val="0"/>
                <w:sz w:val="18"/>
                <w:szCs w:val="18"/>
                <w:highlight w:val="none"/>
                <w:lang w:val="en-US" w:eastAsia="zh-CN" w:bidi="ar"/>
              </w:rPr>
              <w:t xml:space="preserve">壁厚：箱体壁厚均匀，平均壁厚不小于 5mm，拐角及加强部位壁厚不小于 8mm，以保障箱体整体强度和刚性，在承受外力冲击、重压时不易破裂变形。</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3.</w:t>
            </w:r>
            <w:r>
              <w:rPr>
                <w:rStyle w:val="868"/>
                <w:b w:val="0"/>
                <w:bCs w:val="0"/>
                <w:sz w:val="18"/>
                <w:szCs w:val="18"/>
                <w:highlight w:val="none"/>
                <w:lang w:val="en-US" w:eastAsia="zh-CN" w:bidi="ar"/>
              </w:rPr>
              <w:t xml:space="preserve">主体材质：采用线性低密度聚乙烯（LLDPE）食品级全新料，具备优异的耐化学腐蚀性、耐候性和抗冲击性能，可适应不同温度环境（-20℃ - 60℃）下使用。材料需符合 GB 4806.7-2016《食品安全国家标准 食品接触用塑料材料及制品》等相关国家标准。</w:t>
            </w:r>
            <w:r/>
          </w:p>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Style w:val="868"/>
                <w:rFonts w:hint="eastAsia"/>
                <w:b w:val="0"/>
                <w:bCs w:val="0"/>
                <w:sz w:val="18"/>
                <w:szCs w:val="18"/>
                <w:highlight w:val="none"/>
                <w:lang w:val="en-US" w:eastAsia="zh-CN" w:bidi="ar"/>
              </w:rPr>
              <w:t xml:space="preserve">4.</w:t>
            </w:r>
            <w:r>
              <w:rPr>
                <w:rStyle w:val="868"/>
                <w:b w:val="0"/>
                <w:bCs w:val="0"/>
                <w:sz w:val="18"/>
                <w:szCs w:val="18"/>
                <w:highlight w:val="none"/>
                <w:lang w:val="en-US" w:eastAsia="zh-CN" w:bidi="ar"/>
              </w:rPr>
              <w:t xml:space="preserve">静态承载：单个箱体静态承载能力不低于 100kg，在箱体顶部均匀加载 100kg 重物，持续 24 小时后，箱体无明显变形（变形量不超过 5mm）、无裂缝及破损情况，确保堆叠存放时的稳定性和安全性 。</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5.</w:t>
            </w:r>
            <w:r>
              <w:rPr>
                <w:rStyle w:val="868"/>
                <w:b w:val="0"/>
                <w:bCs w:val="0"/>
                <w:sz w:val="18"/>
                <w:szCs w:val="18"/>
                <w:highlight w:val="none"/>
                <w:lang w:val="en-US" w:eastAsia="zh-CN" w:bidi="ar"/>
              </w:rPr>
              <w:t xml:space="preserve">动态承载：箱体动态承载能力不低于 100kg，在使用搬运工具（如手推车、叉车）搬运装有100kg 物品的箱体过程中，箱体结构完整，无部件脱落、开裂等现象 。</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6.</w:t>
            </w:r>
            <w:r>
              <w:rPr>
                <w:rStyle w:val="868"/>
                <w:b w:val="0"/>
                <w:bCs w:val="0"/>
                <w:sz w:val="18"/>
                <w:szCs w:val="18"/>
                <w:highlight w:val="none"/>
                <w:lang w:val="en-US" w:eastAsia="zh-CN" w:bidi="ar"/>
              </w:rPr>
              <w:t xml:space="preserve">密封设计：箱体配备硅胶密封条，通过箱盖与箱体扣合方式实现密封，达到 IP65 防护等级，确保在潮湿、淋雨、冲洗等环境下，箱内物品不被水浸湿，且能有效防止灰尘进入。</w:t>
            </w:r>
            <w:r>
              <w:rPr>
                <w:rStyle w:val="868"/>
                <w:b/>
                <w:bCs/>
                <w:sz w:val="18"/>
                <w:szCs w:val="18"/>
                <w:highlight w:val="none"/>
                <w:u w:val="single"/>
                <w:lang w:val="en-US" w:eastAsia="zh-CN" w:bidi="ar"/>
              </w:rPr>
              <w:br/>
            </w:r>
            <w:r>
              <w:rPr>
                <w:rStyle w:val="868"/>
                <w:rFonts w:hint="eastAsia"/>
                <w:b w:val="0"/>
                <w:bCs w:val="0"/>
                <w:sz w:val="18"/>
                <w:szCs w:val="18"/>
                <w:highlight w:val="none"/>
                <w:u w:val="none"/>
                <w:lang w:val="en-US" w:eastAsia="zh-CN" w:bidi="ar"/>
              </w:rPr>
              <w:t xml:space="preserve">7.</w:t>
            </w:r>
            <w:r>
              <w:rPr>
                <w:rStyle w:val="868"/>
                <w:b w:val="0"/>
                <w:bCs w:val="0"/>
                <w:sz w:val="18"/>
                <w:szCs w:val="18"/>
                <w:highlight w:val="none"/>
                <w:lang w:val="en-US" w:eastAsia="zh-CN" w:bidi="ar"/>
              </w:rPr>
              <w:t xml:space="preserve">加强结构：箱体四周及底部设置加强筋，顶部和底部设计防滑纹路，加强筋宽度不小于 20mm，厚度不小于 3mm。加强筋的设计增强箱体抗压强度，防滑纹路则防止箱体堆叠时滑动，提高搬运和存储的安全性 。</w:t>
            </w:r>
            <w:r>
              <w:rPr>
                <w:rStyle w:val="868"/>
                <w:rFonts w:hint="eastAsia"/>
                <w:b w:val="0"/>
                <w:bCs w:val="0"/>
                <w:sz w:val="18"/>
                <w:szCs w:val="18"/>
                <w:highlight w:val="none"/>
                <w:lang w:val="en-US" w:eastAsia="zh-CN" w:bidi="ar"/>
              </w:rPr>
              <w:t xml:space="preserve">8.</w:t>
            </w:r>
            <w:r>
              <w:rPr>
                <w:rStyle w:val="868"/>
                <w:b w:val="0"/>
                <w:bCs w:val="0"/>
                <w:sz w:val="18"/>
                <w:szCs w:val="18"/>
                <w:highlight w:val="none"/>
                <w:lang w:val="en-US" w:eastAsia="zh-CN" w:bidi="ar"/>
              </w:rPr>
              <w:t xml:space="preserve">把手设计：箱体两侧配备高强度塑料把手，把手需通过承重测试，在悬挂 80kg 重物情况下，持续 10 分钟无断裂、脱落现象。把手表面需光滑，无尖锐边角，便于操作人员抓握搬运 。</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95300"/>
                      <wp:effectExtent l="0" t="0" r="9525" b="7620"/>
                      <wp:docPr id="44"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46" descr="IMG_301"/>
                              <pic:cNvPicPr>
                                <a:picLocks noChangeAspect="1"/>
                              </pic:cNvPicPr>
                              <pic:nvPr/>
                            </pic:nvPicPr>
                            <pic:blipFill>
                              <a:blip r:embed="rId52"/>
                              <a:stretch/>
                            </pic:blipFill>
                            <pic:spPr bwMode="auto">
                              <a:xfrm>
                                <a:off x="0" y="0"/>
                                <a:ext cx="52387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1.2pt;height:39.0pt;mso-wrap-distance-left:0.0pt;mso-wrap-distance-top:0.0pt;mso-wrap-distance-right:0.0pt;mso-wrap-distance-bottom:0.0pt;" stroked="f" strokeweight="0.75pt">
                      <v:path textboxrect="0,0,0,0"/>
                      <v:imagedata r:id="rId52"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装具柜</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军绿色</w:t>
            </w:r>
            <w:r>
              <w:rPr>
                <w:rStyle w:val="868"/>
                <w:b w:val="0"/>
                <w:bCs w:val="0"/>
                <w:sz w:val="18"/>
                <w:szCs w:val="18"/>
                <w:highlight w:val="none"/>
                <w:lang w:val="en-US" w:eastAsia="zh-CN" w:bidi="ar"/>
              </w:rPr>
              <w:t xml:space="preserve">双人装具柜柜体整体尺寸为长 1800mm× 宽 600mm× 高 2000mm，误差范围不超过 ±5mm，确保满足双人使用需求且适配常见空间布局。</w:t>
            </w:r>
            <w:r>
              <w:rPr>
                <w:rStyle w:val="869"/>
                <w:rFonts w:eastAsia="黑体"/>
                <w:b w:val="0"/>
                <w:bCs w:val="0"/>
                <w:sz w:val="18"/>
                <w:szCs w:val="18"/>
                <w:highlight w:val="none"/>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分隔设计：柜体内部纵向分为左右两个独立储物空间，每个空间设置可调节层板不少于 4块，层板高度调节间距为 50mm，满足不同尺寸装具存放需求；</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板材：柜体及柜门采用优质冷轧钢板，板材厚度≥1.2mm，表面平整光滑，无明显凹凸、划痕、锈迹等缺陷。冷轧钢板需符合 GB/T 708-2019《冷轧钢板和钢带的尺寸、外形、重量及允许偏差》标准要求。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焊接工艺：柜体各部件采用二氧化碳气体保护焊焊接，焊接处表面平整，无虚焊、漏焊、焊穿等现象，焊缝均匀，高度不超过 3mm，打磨光滑无毛刺。焊接强度需满足 GB/T 19867.1-2005《电弧焊焊接工艺规程》相关要求。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表面处理：板材经脱脂、酸洗、磷化、中和、表调、静电喷塑等工艺处理，塑粉采用环氧树脂粉末，涂层厚度≥80μm，表面平整、色泽均匀，无流挂、气泡、剥落等缺陷。涂层需符合 GB/T 1771-2007《色漆和清漆 耐中性盐雾性能的测定》标准，在 5% 氯化钠溶液、温度 35℃±2℃的盐雾试验环境下，经 48 小时测试无明显锈蚀、起泡、剥落等现象。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稳定性：柜体需具备良好的稳定性，在空载状态下，柜体倾斜角度不超过 5°时不倾倒；在满载状态下（每个独立空间承重不低于 80kg），柜体无明显变形、晃动。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环保标准：柜体表面涂层及所用原材料需符合 GB 18584-2001《室内装饰装修材料 木家具中有害物质限量》标准要求，甲醛释放量≤1.5mg/L，重金属含量（铅、镉、铬、汞）符合相关安全标准，确保使用安全环保。</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防倾倒装置：柜体背部配备防倾倒固定装置，可通过膨胀螺丝与墙面固定，防止柜体意外倾倒造成安全事故。</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14350"/>
                      <wp:effectExtent l="0" t="0" r="9525" b="3810"/>
                      <wp:docPr id="45"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47" descr="IMG_302"/>
                              <pic:cNvPicPr>
                                <a:picLocks noChangeAspect="1"/>
                              </pic:cNvPicPr>
                              <pic:nvPr/>
                            </pic:nvPicPr>
                            <pic:blipFill>
                              <a:blip r:embed="rId53"/>
                              <a:stretch/>
                            </pic:blipFill>
                            <pic:spPr bwMode="auto">
                              <a:xfrm>
                                <a:off x="0" y="0"/>
                                <a:ext cx="5238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1.2pt;height:40.5pt;mso-wrap-distance-left:0.0pt;mso-wrap-distance-top:0.0pt;mso-wrap-distance-right:0.0pt;mso-wrap-distance-bottom:0.0pt;" stroked="f" strokeweight="0.75pt">
                      <v:path textboxrect="0,0,0,0"/>
                      <v:imagedata r:id="rId53"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军绿色货架</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1.设计原则：遵循安全可靠、结构合理、便于操作的设计理念，确保货架在承载 500kg货物时，能长期稳定运行，且方便货物的搬运、堆码与盘点。​</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2.立柱材质：采用优质冷轧钢板，材质型号不低于 Q235B，需提供材质证明文件。立柱截面尺寸不小于 80mm×60mm，厚度不低于 3.0mm，确保立柱具有足够的强度和稳定性，抵御货物存放时产生的侧向压力。​钢板需通过拉伸、弯曲等力学性能检测，屈服强度≥235MPa，抗拉强度≥370MPa，保证立柱在承载状态下不发生变形、断裂。​</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3.横梁材质：选用优质方管或抱焊梁，材质同样为不低于 Q235B 的冷轧钢板。方管横梁截面尺寸不小于 50mm×30mm，壁厚不低于 1.8mm；抱焊梁采用两块钢板焊接而成，单块钢板厚度不低于 2.0mm，焊接处需饱满牢固，无虚焊、漏焊现象。​横梁的承重能力需通过专业力学计算与测试，确保在承载 500 千克货物时，挠度不超过 L/250（L 为横梁长度），避免因过度弯曲影响货架使用寿命与安全性。​</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4.层板材质：采用冷轧钢板或花纹钢板，冷轧钢板厚度不低于 0.8mm，花纹钢板厚度不低于 1.0mm，表面平整，无明显凹凸、裂缝等缺陷。层板需具备良好的防滑性能，冷轧钢板表面可进行压筋处理，花纹钢板的花纹深度不小于 2mm，防止货物在存放与搬运过程中滑落。​</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5.配件材质：货架的连接件（如立柱与横梁的连接锁扣、螺栓等）采用高强度碳钢材质，表面经过镀锌或达克罗处理，增强防锈、防腐蚀能力，确保连接牢固，在货架承载与使用过程中不松动、脱落。​货架底部的防撞护脚采用高强度橡胶或塑料材质，具有良好的弹性与耐磨性，能有效缓冲叉车等搬运设备碰撞产生的冲击力，保护货架立柱。​</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6.立柱结构：立柱采用孔型设计，孔间距为 50mm 或 75mm，便于横梁高度灵活调节，以适应不同高度货物的存放需求。立柱表面需进行防滑处理，防止横梁安装后滑动。​立柱底部需焊接底板，底板尺寸不小于 150mm×150mm，厚度不低于 6mm，通过膨胀螺栓与地面牢固固定，确保货架整体稳定性。​</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7.横梁结构：横梁与立柱采用插接式或螺栓连接方式，插接式横梁的挂钩需与立柱孔精准配合，挂钩深度不小于 30mm，确保连接紧密；螺栓连接方式的螺栓规格不小于 M10，且需配备弹簧垫片，防止螺栓松动。横梁两端需设置防脱落装置，如安全销或挡片，防止货物重压下横梁意外脱落，保障作业安全。​</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8.层板结构：层板与横梁采用焊接、铆接或卡扣连接方式，焊接连接的焊缝需均匀连续，无焊穿、气孔等缺陷；铆接连接的铆钉需分布均匀，牢固可靠；卡扣连接的卡扣需具有足够的强度，确保层板与横梁连接稳定，在承载货物时不发生移位。​相邻层板之间的间距不小于货物高度加 100mm，以便于货物的存取与搬运操作。​</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9.加工工艺：钢材的切割采用激光切割或数控剪板机切割，确保尺寸精度，切割面平整光滑，无毛刺、豁口等缺陷。​立柱、横梁等部件的成型采用冷弯成型工艺，保证部件的形状精度与表面质量，成型后的部件需进行矫直处理，直线度误差不超过 1mm/m。​</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10.表面处理工艺：货架表面需进行脱脂、酸洗、磷化、钝化等前处理工序，去除表面油污、铁锈等杂质，形成致密的磷化膜，增强涂层附着力。采用静电粉末喷涂工艺进行表面涂装，涂层厚度不低于 60μm，颜色为国际标准安全色（如黄色、灰色等），涂层需均匀平整，无流挂、气泡、漏喷等现象，且具有良好的耐磨性、耐腐蚀性和耐候性，通过盐雾试验时间不低于 800 小时。​</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11.承重标识：货架显著位置需设置清晰、永久的承重标识牌，标明货架的单层额定承重（500 千克）、总承重、使用注意事项等信息，防止超载使用。​</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12.防护装置：货架通道两侧需安装防撞护栏，护栏高度不低于 100mm，采用钢管或钢板制作，表面进行防腐处理，能有效防止叉车碰撞货架。高层货架需设置防坠落装置，如防护网或防护栏，防止货物从高处掉落，保障作业人员安全。​</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13.稳定性测试：货架需通过专业机构的稳定性测试，在承载额定重量货物时，进行水平推力测试，货架不发生倾斜、倒塌现象，确保货架在实际使用中的安全性。​</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14.立柱高度：高度为 2000mm ,误差范围控制在 ±5mm 以内。​</w:t>
            </w:r>
            <w:r/>
          </w:p>
          <w:p>
            <w:pPr>
              <w:jc w:val="left"/>
              <w:keepLines w:val="0"/>
              <w:keepNext w:val="0"/>
              <w:widowControl/>
              <w:rPr>
                <w:rStyle w:val="868"/>
                <w:rFonts w:hint="eastAsia"/>
                <w:b w:val="0"/>
                <w:bCs w:val="0"/>
                <w:sz w:val="18"/>
                <w:szCs w:val="18"/>
                <w:lang w:val="en-US" w:eastAsia="zh-CN" w:bidi="ar"/>
              </w:rPr>
              <w:suppressLineNumbers w:val="0"/>
            </w:pPr>
            <w:r>
              <w:rPr>
                <w:rStyle w:val="868"/>
                <w:rFonts w:hint="eastAsia"/>
                <w:b w:val="0"/>
                <w:bCs w:val="0"/>
                <w:sz w:val="18"/>
                <w:szCs w:val="18"/>
                <w:lang w:val="en-US" w:eastAsia="zh-CN" w:bidi="ar"/>
              </w:rPr>
              <w:t xml:space="preserve">15.横梁长度：误差范围控制在 ±3mm 以内。​</w:t>
            </w:r>
            <w:r/>
          </w:p>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16.货架宽度：整体宽度不小于600mm，以满足货物存放与搬运操作空间需求。</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76250"/>
                      <wp:effectExtent l="0" t="0" r="9525" b="11430"/>
                      <wp:docPr id="46"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48" descr="IMG_303"/>
                              <pic:cNvPicPr>
                                <a:picLocks noChangeAspect="1"/>
                              </pic:cNvPicPr>
                              <pic:nvPr/>
                            </pic:nvPicPr>
                            <pic:blipFill>
                              <a:blip r:embed="rId54"/>
                              <a:stretch/>
                            </pic:blipFill>
                            <pic:spPr bwMode="auto">
                              <a:xfrm>
                                <a:off x="0" y="0"/>
                                <a:ext cx="523875"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1.2pt;height:37.5pt;mso-wrap-distance-left:0.0pt;mso-wrap-distance-top:0.0pt;mso-wrap-distance-right:0.0pt;mso-wrap-distance-bottom:0.0pt;" stroked="f" strokeweight="0.75pt">
                      <v:path textboxrect="0,0,0,0"/>
                      <v:imagedata r:id="rId54"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尺寸：会议桌整体尺寸为长 4000mm× 宽 1800mm× 高 760mm，误差范围不超过 ±3mm，确保适配会议室空间布局。</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结构设计：采用双侧位对称设计，每位配备一套 18.5 寸电脑升降装置及智能面板；桌面中间预留文件收纳区与线槽，桌面下方设置开放式储物空间，用于放置会议资料等物品；桌面边角采用圆弧倒角设计，倒角半径不小于 20mm，防止磕碰。</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实木材质：会议桌主体采用优质红棕色实木，推荐使用胡桃木、樱桃木等材质，木材含水率需控制在 8%-12%，符合 GB/T 1931-2009《木材含水率测定方法》标准；木材纹理清晰美观，无虫蛀、腐朽、死结等缺陷，单块木材拼接宽度不小于 100mm，确保桌面整体强度与美观度</w:t>
            </w:r>
            <w:r>
              <w:rPr>
                <w:rStyle w:val="868"/>
                <w:rFonts w:hint="default"/>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加工工艺：木材采用榫卯结构拼接，关键受力部位辅以金属连接件加固；桌面表面经过砂光、刮腻子、底漆、面漆等至少 8 道涂装工艺，涂装环保清漆，涂层厚度≥0.4mm，表面平整光滑，手感细腻，具备良好的耐污、耐划痕性能，硬度达到 3H 及以上（参照 GB/T 6739-2018《色漆和清漆 铅笔法测定漆膜硬度》）。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封边处理：会议桌边缘采用同材质实木封边，封边宽度不小于 30mm，通过专用胶粘剂紧密贴合，封边处无裂缝、胶痕，与桌面过渡自然，确保美观与耐用性。</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升降系统：双侧位按座位数量配备一套电动升降系统，支持 18.5 寸电脑屏幕平稳升降，升降行程不低于 350mm，升降速度为 30mm/s，运行平稳无卡顿、异响；具备遇阻反弹功能，当升降过程中受到超过 30N 的阻力时，自动停止并反向运行，保障使用安全；升降系统噪音值≤45dB（A）。</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电脑适配：升降平台尺寸适配 18.5 寸电脑屏幕，承重不低于 12kg；平台表面覆盖防滑橡胶垫，防止电脑滑动；配备隐藏式线缆管理系统，包含电源插座、USB 接口、HDMI 接口等，满足会议设备用电与数据传输需求，线缆收纳整齐，无外露杂乱现象。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控制系统：升降系统配备独立控制面板，支持按键控制升降操作，同时可通过智能面板实现集中控制；控制面板具备升降位置记忆功能，可预设至少 3 个常用高度；支持红外遥控操作，方便会议使用。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功能要求：各配备一块智能控制面板，采用触摸屏设计，屏幕尺寸不小于 10 寸，分辨率≥1920×1080；支持对升降电脑装置的控制、会议计时、会议议程显示、环境灯光调节（若与智能灯光系统对接）等功能；具备会议模式切换功能，如普通会议模式、视频会议模式等，可一键调整设备参数；支持手写批注、文件共享等功能，便于会议讨论与资料展示。</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供电与稳定性：智能面板采用 DC 12V 安全电压供电，配备备用电池，在断电情况下可维持正常工作 30 分钟以上；工作温度范围为 0 - 45℃，相对湿度为 10% - 95%，确保在不同环境下稳定运行；具备防水、防尘设计，防护等级达到 IP54。</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稳定性：会议桌在空载及满载状态下（每侧升降平台承载 12kg），整体结构稳定，无摇晃、变形现象；升降电脑装置在升降过程中，会议桌保持平衡，无倾斜风险；桌腿底部配备可调节脚垫，调节范围不小于 30mm，适应不同地面平整度。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环保标准：实木及油漆等材料需符合 GB 18580-2017《室内装饰装修材料人造板及其制品中甲醛释放限量》标准要求，甲醛释放量≤0.05mg/m</w:t>
            </w:r>
            <w:r>
              <w:rPr>
                <w:rStyle w:val="863"/>
                <w:b w:val="0"/>
                <w:bCs w:val="0"/>
                <w:sz w:val="18"/>
                <w:szCs w:val="18"/>
                <w:lang w:val="en-US" w:eastAsia="zh-CN" w:bidi="ar"/>
              </w:rPr>
              <w:t xml:space="preserve">³</w:t>
            </w:r>
            <w:r>
              <w:rPr>
                <w:rStyle w:val="868"/>
                <w:b w:val="0"/>
                <w:bCs w:val="0"/>
                <w:sz w:val="18"/>
                <w:szCs w:val="18"/>
                <w:lang w:val="en-US" w:eastAsia="zh-CN" w:bidi="ar"/>
              </w:rPr>
              <w:t xml:space="preserve">；重金属含量（铅、镉、铬、汞）符合相关安全标准，确保使用安全环保；油漆需通过中国环境标志产品认证（十环认证）。</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电气安全：升降电脑装置及智能面板的电气部件需通过国家强制性产品认证（CCC 认证），绝缘电阻≥10MΩ，接地电阻≤0.1Ω；所有电源接口具备漏电保护功能，确保用电安全。</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19100"/>
                      <wp:effectExtent l="0" t="0" r="9525" b="7620"/>
                      <wp:docPr id="47"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49" descr="IMG_304"/>
                              <pic:cNvPicPr>
                                <a:picLocks noChangeAspect="1"/>
                              </pic:cNvPicPr>
                              <pic:nvPr/>
                            </pic:nvPicPr>
                            <pic:blipFill>
                              <a:blip r:embed="rId55"/>
                              <a:stretch/>
                            </pic:blipFill>
                            <pic:spPr bwMode="auto">
                              <a:xfrm>
                                <a:off x="0" y="0"/>
                                <a:ext cx="523875"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1.2pt;height:33.0pt;mso-wrap-distance-left:0.0pt;mso-wrap-distance-top:0.0pt;mso-wrap-distance-right:0.0pt;mso-wrap-distance-bottom:0.0pt;" stroked="f" strokeweight="0.75pt">
                      <v:path textboxrect="0,0,0,0"/>
                      <v:imagedata r:id="rId55"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highlight w:val="none"/>
                <w:u w:val="none"/>
                <w:lang w:val="en-US"/>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highlight w:val="none"/>
                <w:u w:val="none"/>
              </w:rPr>
            </w:pPr>
            <w:r>
              <w:rPr>
                <w:rFonts w:hint="eastAsia" w:ascii="黑体" w:hAnsi="宋体" w:eastAsia="黑体" w:cs="黑体"/>
                <w:b w:val="0"/>
                <w:bCs w:val="0"/>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Style w:val="868"/>
                <w:rFonts w:hint="eastAsia"/>
                <w:b w:val="0"/>
                <w:bCs w:val="0"/>
                <w:sz w:val="18"/>
                <w:szCs w:val="18"/>
                <w:highlight w:val="none"/>
                <w:lang w:val="en-US" w:eastAsia="zh-CN" w:bidi="ar"/>
              </w:rPr>
              <w:t xml:space="preserve">1.</w:t>
            </w:r>
            <w:r>
              <w:rPr>
                <w:rStyle w:val="868"/>
                <w:b w:val="0"/>
                <w:bCs w:val="0"/>
                <w:sz w:val="18"/>
                <w:szCs w:val="18"/>
                <w:highlight w:val="none"/>
                <w:lang w:val="en-US" w:eastAsia="zh-CN" w:bidi="ar"/>
              </w:rPr>
              <w:t xml:space="preserve">实木贴皮红棕色7400mm*2000mm*760mm，误差范围不超过 ±3mm，确保适配会议室空间布局。</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2.</w:t>
            </w:r>
            <w:r>
              <w:rPr>
                <w:rStyle w:val="868"/>
                <w:b w:val="0"/>
                <w:bCs w:val="0"/>
                <w:sz w:val="18"/>
                <w:szCs w:val="18"/>
                <w:highlight w:val="none"/>
                <w:lang w:val="en-US" w:eastAsia="zh-CN" w:bidi="ar"/>
              </w:rPr>
              <w:t xml:space="preserve">结构设计：采用双侧位对称设计，桌面中间预留文件收纳区与线槽，桌面下方设置开放式储物空间，用于放置会议资料等物品；桌面边角采用圆弧倒角设计，倒角半径不小于 20mm，防止磕碰。</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3.</w:t>
            </w:r>
            <w:r>
              <w:rPr>
                <w:rStyle w:val="868"/>
                <w:b w:val="0"/>
                <w:bCs w:val="0"/>
                <w:sz w:val="18"/>
                <w:szCs w:val="18"/>
                <w:highlight w:val="none"/>
                <w:lang w:val="en-US" w:eastAsia="zh-CN" w:bidi="ar"/>
              </w:rPr>
              <w:t xml:space="preserve">实木材质：会议桌主体采用优质红棕色实木，推荐使用胡桃木、樱桃木等材质，木材含水率需控制在 8%-12%，符合 GB/T 1931-2009《木材含水率测定方法》标准；木材纹理清晰美观，无虫蛀、腐朽、死结等缺陷，单块木材拼接宽度不小于 100mm，确保桌面整体强度与美观度。</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4.</w:t>
            </w:r>
            <w:r>
              <w:rPr>
                <w:rStyle w:val="868"/>
                <w:b w:val="0"/>
                <w:bCs w:val="0"/>
                <w:sz w:val="18"/>
                <w:szCs w:val="18"/>
                <w:highlight w:val="none"/>
                <w:lang w:val="en-US" w:eastAsia="zh-CN" w:bidi="ar"/>
              </w:rPr>
              <w:t xml:space="preserve">加工工艺：木材采用榫卯结构拼接，关键受力部位辅以金属连接件加固；桌面表面经过砂光、刮腻子、底漆、面漆等至少 8 道涂装工艺，涂装环保清漆，涂层厚度≥0.4mm，表面平整光滑，手感细腻，具备良好的耐污、耐划痕性能，硬度达到 3H 及以上（参照 GB/T 6739-2018《色漆和清漆 铅笔法测定漆膜硬度》）。</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5.</w:t>
            </w:r>
            <w:r>
              <w:rPr>
                <w:rStyle w:val="868"/>
                <w:b w:val="0"/>
                <w:bCs w:val="0"/>
                <w:sz w:val="18"/>
                <w:szCs w:val="18"/>
                <w:highlight w:val="none"/>
                <w:lang w:val="en-US" w:eastAsia="zh-CN" w:bidi="ar"/>
              </w:rPr>
              <w:t xml:space="preserve">封边处理：会议桌边缘采用同材质实木封边，封边宽度不小于 30mm，通过专用胶粘剂紧密贴合，封边处无裂缝、胶痕，与桌面过渡自然，确保美观与耐用性。</w:t>
            </w:r>
            <w:r>
              <w:rPr>
                <w:rStyle w:val="868"/>
                <w:b w:val="0"/>
                <w:bCs w:val="0"/>
                <w:sz w:val="18"/>
                <w:szCs w:val="18"/>
                <w:highlight w:val="none"/>
                <w:lang w:val="en-US" w:eastAsia="zh-CN" w:bidi="ar"/>
              </w:rPr>
              <w:br/>
            </w:r>
            <w:r>
              <w:rPr>
                <w:rStyle w:val="868"/>
                <w:b w:val="0"/>
                <w:bCs w:val="0"/>
                <w:sz w:val="18"/>
                <w:szCs w:val="18"/>
                <w:highlight w:val="none"/>
                <w:lang w:val="en-US" w:eastAsia="zh-CN" w:bidi="ar"/>
              </w:rPr>
              <w:t xml:space="preserve">平台表面覆盖防滑橡胶垫，防止电脑滑动；配备隐藏式线缆管理系统，包含电源插座、USB 接口、HDMI 接口等，满足会议设备用电与数据传输需求，线缆收纳整齐，无外露杂乱现象。</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6.</w:t>
            </w:r>
            <w:r>
              <w:rPr>
                <w:rStyle w:val="868"/>
                <w:b w:val="0"/>
                <w:bCs w:val="0"/>
                <w:sz w:val="18"/>
                <w:szCs w:val="18"/>
                <w:highlight w:val="none"/>
                <w:lang w:val="en-US" w:eastAsia="zh-CN" w:bidi="ar"/>
              </w:rPr>
              <w:t xml:space="preserve">环保标准：实木及油漆等材料需符合 GB 18580-2017《室内装饰装修材料人造板及其制品中甲醛释放限量》标准要求，甲醛释放量≤0.05mg/m</w:t>
            </w:r>
            <w:r>
              <w:rPr>
                <w:rStyle w:val="863"/>
                <w:b w:val="0"/>
                <w:bCs w:val="0"/>
                <w:sz w:val="18"/>
                <w:szCs w:val="18"/>
                <w:highlight w:val="none"/>
                <w:lang w:val="en-US" w:eastAsia="zh-CN" w:bidi="ar"/>
              </w:rPr>
              <w:t xml:space="preserve">³</w:t>
            </w:r>
            <w:r>
              <w:rPr>
                <w:rStyle w:val="868"/>
                <w:b w:val="0"/>
                <w:bCs w:val="0"/>
                <w:sz w:val="18"/>
                <w:szCs w:val="18"/>
                <w:highlight w:val="none"/>
                <w:lang w:val="en-US" w:eastAsia="zh-CN" w:bidi="ar"/>
              </w:rPr>
              <w:t xml:space="preserve">；重金属含量（铅、镉、铬、汞）符合相关安全标准，确保使用安全环保；油漆需通过中国环境标志产品认证（十环认证）。</w:t>
            </w:r>
            <w:r>
              <w:rPr>
                <w:rStyle w:val="869"/>
                <w:rFonts w:eastAsia="黑体"/>
                <w:b w:val="0"/>
                <w:bCs w:val="0"/>
                <w:sz w:val="18"/>
                <w:szCs w:val="18"/>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38150"/>
                      <wp:effectExtent l="0" t="0" r="9525" b="3810"/>
                      <wp:docPr id="48"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51" descr="IMG_306"/>
                              <pic:cNvPicPr>
                                <a:picLocks noChangeAspect="1"/>
                              </pic:cNvPicPr>
                              <pic:nvPr/>
                            </pic:nvPicPr>
                            <pic:blipFill>
                              <a:blip r:embed="rId56"/>
                              <a:stretch/>
                            </pic:blipFill>
                            <pic:spPr bwMode="auto">
                              <a:xfrm>
                                <a:off x="0" y="0"/>
                                <a:ext cx="5238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1.2pt;height:34.5pt;mso-wrap-distance-left:0.0pt;mso-wrap-distance-top:0.0pt;mso-wrap-distance-right:0.0pt;mso-wrap-distance-bottom:0.0pt;" stroked="f" strokeweight="0.75pt">
                      <v:path textboxrect="0,0,0,0"/>
                      <v:imagedata r:id="rId56"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highlight w:val="none"/>
                <w:u w:val="none"/>
                <w:lang w:val="en-US"/>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highlight w:val="none"/>
                <w:u w:val="none"/>
              </w:rPr>
            </w:pPr>
            <w:r>
              <w:rPr>
                <w:rFonts w:hint="eastAsia" w:ascii="黑体" w:hAnsi="宋体" w:eastAsia="黑体" w:cs="黑体"/>
                <w:b w:val="0"/>
                <w:bCs w:val="0"/>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1.实木贴皮红棕色5500mm*1600mm*760mm</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2.基材：E0级三聚氰胺板，甲醛释放量≤0.05mg/m³，台面厚度≥25MM。</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3.贴面：优质耐磨三聚氢胺浸渍饰面，外表面应无明显划痕、压痕，应无明显色差、鼓泡。</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4.封边：2.0mm厚同色PVC封边条，表面应无皱纹、裂纹、染色线、无明显的气泡、针孔、划痕等瑕疵。</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5.五金：优质五金。</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38150"/>
                      <wp:effectExtent l="0" t="0" r="9525" b="3810"/>
                      <wp:docPr id="49"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52" descr="IMG_307"/>
                              <pic:cNvPicPr>
                                <a:picLocks noChangeAspect="1"/>
                              </pic:cNvPicPr>
                              <pic:nvPr/>
                            </pic:nvPicPr>
                            <pic:blipFill>
                              <a:blip r:embed="rId57"/>
                              <a:stretch/>
                            </pic:blipFill>
                            <pic:spPr bwMode="auto">
                              <a:xfrm>
                                <a:off x="0" y="0"/>
                                <a:ext cx="5238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1.2pt;height:34.5pt;mso-wrap-distance-left:0.0pt;mso-wrap-distance-top:0.0pt;mso-wrap-distance-right:0.0pt;mso-wrap-distance-bottom:0.0pt;" stroked="f" strokeweight="0.75pt">
                      <v:path textboxrect="0,0,0,0"/>
                      <v:imagedata r:id="rId5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1.简易会议桌 400*120*75cm</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2.基材：E0级三聚氰胺板，甲醛释放量≤0.05mg/m³，台面厚度≥25MM。</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3.贴面：优质耐磨三聚氢胺浸渍饰面，外表面应无明显划痕、压痕，应无明显色差、鼓泡。</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4.封边：2.0mm厚同色PVC封边条，表面应无皱纹、裂纹、染色线、无明显的气泡、针孔、划痕等瑕疵。</w:t>
            </w:r>
            <w:r/>
          </w:p>
          <w:p>
            <w:pPr>
              <w:jc w:val="left"/>
              <w:keepLines w:val="0"/>
              <w:keepNext w:val="0"/>
              <w:widowControl/>
              <w:rPr>
                <w:rFonts w:hint="eastAsia" w:ascii="黑体" w:hAnsi="宋体" w:eastAsia="黑体" w:cs="黑体"/>
                <w:b w:val="0"/>
                <w:bCs w:val="0"/>
                <w:i w:val="0"/>
                <w:iCs w:val="0"/>
                <w:color w:val="000000"/>
                <w:sz w:val="18"/>
                <w:szCs w:val="18"/>
                <w:highlight w:val="green"/>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5.五金：优质五金。</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33400"/>
                      <wp:effectExtent l="0" t="0" r="9525" b="0"/>
                      <wp:docPr id="50"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53" descr="IMG_308"/>
                              <pic:cNvPicPr>
                                <a:picLocks noChangeAspect="1"/>
                              </pic:cNvPicPr>
                              <pic:nvPr/>
                            </pic:nvPicPr>
                            <pic:blipFill>
                              <a:blip r:embed="rId58"/>
                              <a:stretch/>
                            </pic:blipFill>
                            <pic:spPr bwMode="auto">
                              <a:xfrm>
                                <a:off x="0" y="0"/>
                                <a:ext cx="5238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1.2pt;height:42.0pt;mso-wrap-distance-left:0.0pt;mso-wrap-distance-top:0.0pt;mso-wrap-distance-right:0.0pt;mso-wrap-distance-bottom:0.0pt;" stroked="f" strokeweight="0.75pt">
                      <v:path textboxrect="0,0,0,0"/>
                      <v:imagedata r:id="rId58" o:title=""/>
                    </v:shape>
                  </w:pict>
                </mc:Fallback>
              </mc:AlternateContent>
            </w:r>
            <w:r/>
          </w:p>
        </w:tc>
      </w:tr>
      <w:tr>
        <w:trPr>
          <w:trHeight w:val="339"/>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会议椅、办公椅</w:t>
            </w:r>
            <w:r/>
          </w:p>
        </w:tc>
        <w:tc>
          <w:tcPr>
            <w:shd w:val="clear" w:color="auto" w:fill="auto"/>
            <w:tcBorders>
              <w:top w:val="single" w:color="000000" w:sz="4" w:space="0"/>
              <w:left w:val="non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Style w:val="868"/>
                <w:rFonts w:hint="eastAsia"/>
                <w:b w:val="0"/>
                <w:bCs w:val="0"/>
                <w:sz w:val="18"/>
                <w:szCs w:val="18"/>
                <w:highlight w:val="none"/>
                <w:lang w:val="en-US" w:eastAsia="zh-CN" w:bidi="ar"/>
              </w:rPr>
              <w:t xml:space="preserve">1.</w:t>
            </w:r>
            <w:r>
              <w:rPr>
                <w:rStyle w:val="868"/>
                <w:b w:val="0"/>
                <w:bCs w:val="0"/>
                <w:sz w:val="18"/>
                <w:szCs w:val="18"/>
                <w:highlight w:val="none"/>
                <w:lang w:val="en-US" w:eastAsia="zh-CN" w:bidi="ar"/>
              </w:rPr>
              <w:t xml:space="preserve">尺寸：会议椅整体尺寸为宽 470mm× 深 510mm× 高 1060mm，误差范围不超过 ±5mm；座面尺寸宽 450mm× 深 480mm，座面高度 450mm±10mm；靠背高度 610mm，靠背宽度 430mm，确保符合人体工学，满足长时间会议使用的舒适性 。</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2.</w:t>
            </w:r>
            <w:r>
              <w:rPr>
                <w:rStyle w:val="868"/>
                <w:b w:val="0"/>
                <w:bCs w:val="0"/>
                <w:sz w:val="18"/>
                <w:szCs w:val="18"/>
                <w:highlight w:val="none"/>
                <w:lang w:val="en-US" w:eastAsia="zh-CN" w:bidi="ar"/>
              </w:rPr>
              <w:t xml:space="preserve">结构设计：采用框架式结构，椅背与座面一体成型，椅背设计符合人体脊柱曲线，靠背倾斜角度为 105°；椅脚采用四脚支撑结构，底部配备防滑橡胶脚垫，脚垫直径不小于 30mm，厚度不小于 5mm，防止刮伤地面且稳固防滑。</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3.</w:t>
            </w:r>
            <w:r>
              <w:rPr>
                <w:rStyle w:val="868"/>
                <w:b w:val="0"/>
                <w:bCs w:val="0"/>
                <w:sz w:val="18"/>
                <w:szCs w:val="18"/>
                <w:highlight w:val="none"/>
                <w:lang w:val="en-US" w:eastAsia="zh-CN" w:bidi="ar"/>
              </w:rPr>
              <w:t xml:space="preserve">框架材质：椅架主体采用优质橡胶木，木材含水率需控制在 8% - 12%，符合 GB/T 1931-2009《木材含水率测定方法》标准；橡胶木需经过防腐、防虫处理，无虫蛀、腐朽、死结等缺陷；木材表面需进行砂光处理，确保表面光滑无毛刺。</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4.</w:t>
            </w:r>
            <w:r>
              <w:rPr>
                <w:rStyle w:val="868"/>
                <w:b w:val="0"/>
                <w:bCs w:val="0"/>
                <w:sz w:val="18"/>
                <w:szCs w:val="18"/>
                <w:highlight w:val="none"/>
                <w:lang w:val="en-US" w:eastAsia="zh-CN" w:bidi="ar"/>
              </w:rPr>
              <w:t xml:space="preserve">西皮材质：座面与靠背表面包覆优质西皮，厚度≥1.2mm，表面纹理自然，手感柔软；西皮需具备良好的耐磨性、耐污性和透气性，色牢度≥4 级（参照 GB/T 3920-2008《纺织品 色牢度试验 耐摩擦色牢度》）；采用环保胶水贴合，无异味，符合 GB 18583-2008《室内装饰装修材料 胶粘剂中有害物质限量》标准。</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5.</w:t>
            </w:r>
            <w:r>
              <w:rPr>
                <w:rStyle w:val="868"/>
                <w:b w:val="0"/>
                <w:bCs w:val="0"/>
                <w:sz w:val="18"/>
                <w:szCs w:val="18"/>
                <w:highlight w:val="none"/>
                <w:lang w:val="en-US" w:eastAsia="zh-CN" w:bidi="ar"/>
              </w:rPr>
              <w:t xml:space="preserve">海绵填充：座面与靠背内部填充高密度聚氨酯海绵，海绵密度≥35kg/m</w:t>
            </w:r>
            <w:r>
              <w:rPr>
                <w:rStyle w:val="863"/>
                <w:b w:val="0"/>
                <w:bCs w:val="0"/>
                <w:sz w:val="18"/>
                <w:szCs w:val="18"/>
                <w:highlight w:val="none"/>
                <w:lang w:val="en-US" w:eastAsia="zh-CN" w:bidi="ar"/>
              </w:rPr>
              <w:t xml:space="preserve">³</w:t>
            </w:r>
            <w:r>
              <w:rPr>
                <w:rStyle w:val="868"/>
                <w:b w:val="0"/>
                <w:bCs w:val="0"/>
                <w:sz w:val="18"/>
                <w:szCs w:val="18"/>
                <w:highlight w:val="none"/>
                <w:lang w:val="en-US" w:eastAsia="zh-CN" w:bidi="ar"/>
              </w:rPr>
              <w:t xml:space="preserve">，回弹率≥60%（参照 GB/T 6670-2008《软质泡沫聚合材料 落球法回弹性能的测定》），确保坐感舒适且不易变形，使用寿命长。</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6.</w:t>
            </w:r>
            <w:r>
              <w:rPr>
                <w:rStyle w:val="868"/>
                <w:b w:val="0"/>
                <w:bCs w:val="0"/>
                <w:sz w:val="18"/>
                <w:szCs w:val="18"/>
                <w:highlight w:val="none"/>
                <w:lang w:val="en-US" w:eastAsia="zh-CN" w:bidi="ar"/>
              </w:rPr>
              <w:t xml:space="preserve">加工工艺：橡胶木部件采用榫卯与五金连接件相结合的方式拼接，关键部位使用高强度螺丝加固，确保结构牢固；西皮裁剪整齐，包覆平整，边角处无褶皱、翘边现象；缝合线迹均匀，针距为 8 - 10 针 / 3cm，缝线强度高，不易断裂。</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04825"/>
                      <wp:effectExtent l="0" t="0" r="9525" b="13335"/>
                      <wp:docPr id="51" name="图片 5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54" descr="IMG_309"/>
                              <pic:cNvPicPr>
                                <a:picLocks noChangeAspect="1"/>
                              </pic:cNvPicPr>
                              <pic:nvPr/>
                            </pic:nvPicPr>
                            <pic:blipFill>
                              <a:blip r:embed="rId59"/>
                              <a:stretch/>
                            </pic:blipFill>
                            <pic:spPr bwMode="auto">
                              <a:xfrm>
                                <a:off x="0" y="0"/>
                                <a:ext cx="523875"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1.2pt;height:39.8pt;mso-wrap-distance-left:0.0pt;mso-wrap-distance-top:0.0pt;mso-wrap-distance-right:0.0pt;mso-wrap-distance-bottom:0.0pt;" stroked="f" strokeweight="0.75pt">
                      <v:path textboxrect="0,0,0,0"/>
                      <v:imagedata r:id="rId59" o:title=""/>
                    </v:shape>
                  </w:pict>
                </mc:Fallback>
              </mc:AlternateContent>
            </w:r>
            <w:r/>
          </w:p>
        </w:tc>
      </w:tr>
      <w:tr>
        <w:trPr>
          <w:trHeight w:val="339"/>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non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会议椅整体尺寸为宽 550mm× 深 580mm× 高 1100mm，误差范围不超过 ±5mm；座面尺寸宽 500mm× 深 530mm，座面高度 450mm±10mm；靠背高度 650mm，靠背宽度 480mm；固定扶手长度 480mm，宽度 80mm，高度 220mm（距座面），确保符合人体工学，满足长时间会议使用的舒适性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结构设计：采用框架式结构，椅背与座面一体成型，椅背设计符合人体脊柱曲线，靠背倾斜角度为 108°；椅脚采用四脚仿生加厚钢脚支撑结构，底部配备防滑橡胶脚垫，脚垫直径不小于 40mm，厚度不小于 8mm，防止刮伤地面且稳固防滑。</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钢脚材质：椅脚采用优质加厚冷轧钢板，钢板厚度≥3mm，钢材强度不低于 Q235B 标准；表面经脱脂、酸洗、磷化、静电喷涂处理，塑粉采用环氧树脂粉末，涂层厚度≥100μm，具备良好的防锈、耐磨性能；钢脚仿生设计，造型仿照自然生物腿部结构，兼具美观与力学稳定性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框架材质：椅背及座面框架采用优质橡胶木，木材含水率需控制在 8% - 12%，符合 GB/T 1931-2009《木材含水率测定方法》标准；橡胶木需经过防腐、防虫处理，无虫蛀、腐朽、死结等缺陷；木材表面需进行砂光处理，确保表面光滑无毛刺。</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包覆材质：座面与靠背表面包覆优质西皮，厚度≥1.5mm，表面纹理自然，手感柔软；西皮需具备良好的耐磨性、耐污性和透气性，色牢度≥4 级（参照 GB/T 3920-2008《纺织品 色牢度试验 耐摩擦色牢度》）；采用环保胶水贴合，无异味，符合 GB 18583-2008《室内装饰装修材料 胶粘剂中有害物质限量》标准。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海绵填充：座面与靠背内部填充高密度聚氨酯海绵，海绵密度≥40kg/m</w:t>
            </w:r>
            <w:r>
              <w:rPr>
                <w:rStyle w:val="863"/>
                <w:b w:val="0"/>
                <w:bCs w:val="0"/>
                <w:sz w:val="18"/>
                <w:szCs w:val="18"/>
                <w:lang w:val="en-US" w:eastAsia="zh-CN" w:bidi="ar"/>
              </w:rPr>
              <w:t xml:space="preserve">³</w:t>
            </w:r>
            <w:r>
              <w:rPr>
                <w:rStyle w:val="868"/>
                <w:b w:val="0"/>
                <w:bCs w:val="0"/>
                <w:sz w:val="18"/>
                <w:szCs w:val="18"/>
                <w:lang w:val="en-US" w:eastAsia="zh-CN" w:bidi="ar"/>
              </w:rPr>
              <w:t xml:space="preserve">，回弹率≥65%（参照 GB/T 6670-2008《软质泡沫聚合材料 落球法回弹性能的测定》），确保坐感舒适且不易变形，使用寿命长。</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扶手材质：固定扶手采用优质橡胶木材质，与椅身框架材质一致，表面经过与椅身相同的涂装工艺处理；扶手与椅身通过榫卯结构及高强度螺丝双重固定，确保连接牢固，无松动。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加工工艺：钢脚部件焊接采用二氧化碳气体保护焊，焊接处表面平整，无虚焊、漏焊、焊穿等现象，焊缝均匀，高度不超过 4mm，打磨光滑无毛刺；橡胶木部件采用榫卯与五金连接件相结合的方式拼接，关键部位使用高强度螺丝加固；西皮裁剪整齐，包覆平整，边角处无褶皱、翘边现象；缝合线迹均匀，针距为 8 - 10 针 / 3cm，缝线强度高，不易断裂。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承重性能：具备良好的承重能力，静态承重不低于 200kg，在承重状态下，钢脚、椅架无变形、开裂现象，各部件连接稳固，无松动。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稳定性：四脚仿生钢脚支撑结构确保椅子在空载及承重状态下保持平衡，无摇晃、倾斜现象；椅子放置在水平地面时，四脚与地面接触紧密，无悬空；钢脚结构设计需通过力学测试，确保在不同受力角度下的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环保标准：钢脚涂层、橡胶木、西皮、海绵及胶水等材料需符合 GB 18584-2001《室内装饰装修材料 木家具中有害物质限量》标准要求，甲醛释放量≤1.5mg/L，重金属含量（铅、镉、铬、汞）符合相关安全标准，确保使用安全环保。</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33400"/>
                      <wp:effectExtent l="0" t="0" r="9525" b="0"/>
                      <wp:docPr id="52" name="图片 5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56" descr="IMG_311"/>
                              <pic:cNvPicPr>
                                <a:picLocks noChangeAspect="1"/>
                              </pic:cNvPicPr>
                              <pic:nvPr/>
                            </pic:nvPicPr>
                            <pic:blipFill>
                              <a:blip r:embed="rId60"/>
                              <a:stretch/>
                            </pic:blipFill>
                            <pic:spPr bwMode="auto">
                              <a:xfrm>
                                <a:off x="0" y="0"/>
                                <a:ext cx="5238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1.2pt;height:42.0pt;mso-wrap-distance-left:0.0pt;mso-wrap-distance-top:0.0pt;mso-wrap-distance-right:0.0pt;mso-wrap-distance-bottom:0.0pt;" stroked="f" strokeweight="0.75pt">
                      <v:path textboxrect="0,0,0,0"/>
                      <v:imagedata r:id="rId60" o:title=""/>
                    </v:shape>
                  </w:pict>
                </mc:Fallback>
              </mc:AlternateContent>
            </w:r>
            <w:r/>
          </w:p>
        </w:tc>
      </w:tr>
      <w:tr>
        <w:trPr>
          <w:trHeight w:val="383"/>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non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会议椅整体尺寸为宽 550mm× 深 580mm× 高 1100mm，误差范围不超过 ±5mm；座面尺寸宽 500mm× 深 530mm，座面高度 450mm±10mm；靠背高度 650mm，靠背宽度 480mm；固定扶手长度 480mm，宽度 80mm，高度 220mm（距座面），确保符合人体工学，满足长时间会议使用的舒适性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结构设计：采用框架式结构，椅背与座面一体成型，椅背设计符合人体脊柱曲线，靠背倾斜角度为 108°；椅脚采用四脚仿生加厚钢脚支撑结构，底部配备防滑橡胶脚垫，脚垫直径不小于 40mm，厚度不小于 8mm，防止刮伤地面且稳固防滑。</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钢脚材质：椅脚采用优质加厚冷轧钢板，钢板厚度≥3mm，钢材强度不低于 Q235B 标准；表面经脱脂、酸洗、磷化、静电喷涂处理，塑粉采用环氧树脂粉末，涂层厚度≥100μm，具备良好的防锈、耐磨性能；钢脚仿生设计，造型仿照自然生物腿部结构，兼具美观与力学稳定性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框架材质：椅背及座面框架采用优质橡胶木，木材含水率需控制在 8% - 12%，符合 GB/T 1931-2009《木材含水率测定方法》标准；橡胶木需经过防腐、防虫处理，无虫蛀、腐朽、死结等缺陷；木材表面需进行砂光处理，确保表面光滑无毛刺。</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包覆材质：座面与靠背表面包覆优质西皮，厚度≥1.5mm，表面纹理自然，手感柔软；西皮需具备良好的耐磨性、耐污性和透气性，色牢度≥4 级（参照 GB/T 3920-2008《纺织品 色牢度试验 耐摩擦色牢度》）；采用环保胶水贴合，无异味，符合 GB 18583-2008《室内装饰装修材料 胶粘剂中有害物质限量》标准。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海绵填充：座面与靠背内部填充高密度聚氨酯海绵，海绵密度≥40kg/m</w:t>
            </w:r>
            <w:r>
              <w:rPr>
                <w:rStyle w:val="863"/>
                <w:b w:val="0"/>
                <w:bCs w:val="0"/>
                <w:sz w:val="18"/>
                <w:szCs w:val="18"/>
                <w:lang w:val="en-US" w:eastAsia="zh-CN" w:bidi="ar"/>
              </w:rPr>
              <w:t xml:space="preserve">³</w:t>
            </w:r>
            <w:r>
              <w:rPr>
                <w:rStyle w:val="868"/>
                <w:b w:val="0"/>
                <w:bCs w:val="0"/>
                <w:sz w:val="18"/>
                <w:szCs w:val="18"/>
                <w:lang w:val="en-US" w:eastAsia="zh-CN" w:bidi="ar"/>
              </w:rPr>
              <w:t xml:space="preserve">，回弹率≥65%（参照 GB/T 6670-2008《软质泡沫聚合材料 落球法回弹性能的测定》），确保坐感舒适且不易变形，使用寿命长。</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扶手材质：固定扶手采用优质橡胶木材质，与椅身框架材质一致，表面经过与椅身相同的涂装工艺处理；扶手与椅身通过榫卯结构及高强度螺丝双重固定，确保连接牢固，无松动。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加工工艺：钢脚部件焊接采用二氧化碳气体保护焊，焊接处表面平整，无虚焊、漏焊、焊穿等现象，焊缝均匀，高度不超过 4mm，打磨光滑无毛刺；橡胶木部件采用榫卯与五金连接件相结合的方式拼接，关键部位使用高强度螺丝加固；西皮裁剪整齐，包覆平整，边角处无褶皱、翘边现象；缝合线迹均匀，针距为 8 - 10 针 / 3cm，缝线强度高，不易断裂。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承重性能：具备良好的承重能力，静态承重不低于 200kg，在承重状态下，钢脚、椅架无变形、开裂现象，各部件连接稳固，无松动。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稳定性：四脚仿生钢脚支撑结构确保椅子在空载及承重状态下保持平衡，无摇晃、倾斜现象；椅子放置在水平地面时，四脚与地面接触紧密，无悬空；钢脚结构设计需通过力学测试，确保在不同受力角度下的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环保标准：钢脚涂层、橡胶木、西皮、海绵及胶水等材料需符合 GB 18584-2001《室内装饰装修材料 木家具中有害物质限量》标准要求，甲醛释放量≤1.5mg/L，重金属含量（铅、镉、铬、汞）符合相关安全标准，确保使用安全环保。</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19100"/>
                      <wp:effectExtent l="0" t="0" r="9525" b="7620"/>
                      <wp:docPr id="53" name="图片 5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57" descr="IMG_312"/>
                              <pic:cNvPicPr>
                                <a:picLocks noChangeAspect="1"/>
                              </pic:cNvPicPr>
                              <pic:nvPr/>
                            </pic:nvPicPr>
                            <pic:blipFill>
                              <a:blip r:embed="rId61"/>
                              <a:stretch/>
                            </pic:blipFill>
                            <pic:spPr bwMode="auto">
                              <a:xfrm>
                                <a:off x="0" y="0"/>
                                <a:ext cx="523875"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1.2pt;height:33.0pt;mso-wrap-distance-left:0.0pt;mso-wrap-distance-top:0.0pt;mso-wrap-distance-right:0.0pt;mso-wrap-distance-bottom:0.0pt;" stroked="f" strokeweight="0.75pt">
                      <v:path textboxrect="0,0,0,0"/>
                      <v:imagedata r:id="rId61"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资料柜</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资料柜整体尺寸为高 185cm× 宽 90cm× 深 42cm，误差范围不超过 ±5mm。内部采用分层设计，配备不少于 3 块可调节层板，层板调节间距为 50mm，方便存放不同尺寸的资料文件；底部预留 20cm 空间用于存放常用物品或应急物资，顶部设置隐藏式暗格，尺寸为长 80cm× 宽 30cm× 深 15cm，可存放重要私密资料。</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柜体材质：柜体采用优质冷轧钢板，板材厚度≥</w:t>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mm，符合 GB/T 708 - 2019《冷轧钢板和钢带的尺寸、外形、重量及允许偏差》标准，具备高强度与防撬性能。柜门钢板厚度≥</w:t>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mm，确保安全防护等级。</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焊接工艺：柜体各部件采用二氧化碳气体保护焊焊接，焊缝均匀，焊接处表面平整，无虚焊、漏焊、焊穿等现象，焊缝高度不超过 3mm，焊接强度需符合 GB/T 19867.1 - 2005《电弧焊焊接工艺规程》要求，保障柜体整体结构稳固。</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表面处理：板材经脱脂、酸洗、磷化、中和、表调、静电喷塑等工艺处理，塑粉采用环氧树脂粉末，涂层厚度≥100μm，表面平整、色泽均匀，无流挂、气泡、剥落等缺陷。涂层需通过 GB/T 1771 - 2007《色漆和清漆 耐中性盐雾性能的测定》48 小时盐雾测试，具备良好的防锈、耐腐蚀能力。</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锁具类型：采用电子密码锁，支持密码、指纹、刷卡等多种开锁方式，具备组合验证功能（如密码 + 指纹），提升安全性。锁具需通过公安部安全与警用电子产品质量检测中心检测，具备防撬、防技术开启功能，锁具使用寿命不少于 8000 次开合。</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密码设置：可设置用户密码与管理员密码，管理员密码具备最高权限，可对用户密码进行管理、重置等操作。密码支持定期更换提醒功能，保障密码安全性。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应急功能：配备机械应急钥匙孔，钥匙采用超 B 级防盗钥匙，防止暴力开启；同时具备备用电源接口，在停电时可使用外接电源（如 9V 电池）开启柜门。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保密标准：资料柜需符合国家保密局相关保密标准，具备良好的防窃听、防电磁泄漏功能，确保存储资料的保密性。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稳定性：柜体需具备良好的稳定性，在空载状态下，柜体倾斜角度不超过 10° 时不倾倒；在满载状态下（承重不低于 150kg），柜体无明显变形、晃动。柜体底部配备可调节脚垫，调节范围不小于 20mm，以适应不同地面平整度。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防火防潮：柜体内部采用防火涂层处理，具备一定的防火能力；柜门配备密封条，确保良好的密封性，防止潮气进入，保护资料安全。</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23875"/>
                      <wp:effectExtent l="0" t="0" r="9525" b="9525"/>
                      <wp:docPr id="54" name="图片 5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58" descr="IMG_313"/>
                              <pic:cNvPicPr>
                                <a:picLocks noChangeAspect="1"/>
                              </pic:cNvPicPr>
                              <pic:nvPr/>
                            </pic:nvPicPr>
                            <pic:blipFill>
                              <a:blip r:embed="rId62"/>
                              <a:stretch/>
                            </pic:blipFill>
                            <pic:spPr bwMode="auto">
                              <a:xfrm>
                                <a:off x="0" y="0"/>
                                <a:ext cx="52387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1.2pt;height:41.2pt;mso-wrap-distance-left:0.0pt;mso-wrap-distance-top:0.0pt;mso-wrap-distance-right:0.0pt;mso-wrap-distance-bottom:0.0pt;" stroked="f" strokeweight="0.75pt">
                      <v:path textboxrect="0,0,0,0"/>
                      <v:imagedata r:id="rId62"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资料柜</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资料柜整体尺寸为宽 90cm× 深 42cm× 高 185cm，误差范围不超过 ±3mm，确保适配存放空间 。内部采用分层设计，配备不少于 4 块可调节层板，层板调节间距为 50mm，满足不同厚度资料文件的存放需求；底部预留 15cm 空间用于放置常用物品，顶部设置隐藏式抽屉，尺寸为长 80cm× 宽 35cm× 深 10cm，可存放重要小件资料。</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柜体材质：柜体采用优质加厚冷轧钢板，柜体板材厚度≥</w:t>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mm，柜门板材厚度≥</w:t>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mm，材质强度符合 GB/T 708 - 2019《冷轧钢板和钢带的尺寸、外形、重量及允许偏差》标准，具备较强的防撬、防撞击性能。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焊接工艺：各部件采用二氧化碳气体保护焊结合点焊工艺，焊接处表面平整，无虚焊、漏焊、焊穿等现象，焊缝均匀，高度不超过 3mm，焊接强度需通过专业力学测试，确保柜体结构稳固耐用。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表面处理：板材经脱脂、酸洗、磷化、中和、表调、静电喷塑等多道工艺处理，塑粉采用环氧树脂粉末，涂层厚度≥120μm，表面平整、色泽均匀，无流挂、气泡、剥落等缺陷。涂层需通过 GB/T 1771 - 2007《色漆和清漆 耐中性盐雾性能的测定》72 小时盐雾测试，具备良好的防锈、耐腐蚀能力。</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锁具类型：采用电子密码锁，支持密码、指纹双模式开锁，指纹识别模块识别准确率≥99%，响应时间≤1 秒；具备组合验证功能（密码 + 指纹），提升安全性。锁具需通过公安部安全与警用电子产品质量检测中心检测，具备防撬、防技术开启功能，锁具使用寿命不少于 8000 次开合。</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密码管理：可设置用户密码与管理员密码，管理员密码具备最高权限，可对用户密码进行管理、重置等操作；支持密码定期更换提醒功能，密码错误输入 5 次自动锁定 15 分钟，防止暴力破解。</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应急功能：配备机械应急钥匙孔，钥匙采用超 B 级防盗钥匙，防止暴力开启；同时具备备用电源接口，在停电时可使用外接 9V 电池开启柜门。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保密性能：资料柜需具备良好的防电磁泄漏性能，确保存储资料的保密性。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稳定性：柜体需具备良好的稳定性，在空载状态下，柜体倾斜角度不超过 10 时不倾倒；在满载状态下（承重不低于 120kg），柜体无明显变形、晃动。柜体底部配备可调节脚垫，调节范围不小于 15mm，以适应不同地面平整度。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防盗设计：柜门与柜体之间采用嵌入式防撬结构，配备多组锁舌，锁舌伸出长度不小于 20mm，增强防盗能力。</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42925"/>
                      <wp:effectExtent l="0" t="0" r="9525" b="5715"/>
                      <wp:docPr id="55" name="图片 5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59" descr="IMG_314"/>
                              <pic:cNvPicPr>
                                <a:picLocks noChangeAspect="1"/>
                              </pic:cNvPicPr>
                              <pic:nvPr/>
                            </pic:nvPicPr>
                            <pic:blipFill>
                              <a:blip r:embed="rId63"/>
                              <a:stretch/>
                            </pic:blipFill>
                            <pic:spPr bwMode="auto">
                              <a:xfrm>
                                <a:off x="0" y="0"/>
                                <a:ext cx="52387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1.2pt;height:42.8pt;mso-wrap-distance-left:0.0pt;mso-wrap-distance-top:0.0pt;mso-wrap-distance-right:0.0pt;mso-wrap-distance-bottom:0.0pt;" stroked="f" strokeweight="0.75pt">
                      <v:path textboxrect="0,0,0,0"/>
                      <v:imagedata r:id="rId63"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木质主席台红胡桃色，主席台桌整体尺寸要求长不小于 120cm，宽不小于 60cm，高度 76cm，误差范围不超过 ±3mm，确保适配主席台场景使用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桌面采用矩形设计，边角进行倒圆角处理，圆角半径为 2 - 3cm，防止人员磕碰受伤；桌面下方设置开放式储物空间，高度不低于 30cm，方便放置文件、资料等物品。</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主材：采用优质木材需纹理清晰、质地坚硬，无虫蛀、腐朽、死结等缺陷；木材含水率控制在 8% - 12%，符合 GB/T 1931 - 2009《木材含水率测定方法》标准，确保使用过程中不易变形、开裂。保证桌面的整体美观与强度。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辅材：桌腿及内部支撑结构可选用同材质红胡桃木或优质多层板，多层板需符合 GB/T 9846 - 2015《普通胶合板》标准，甲醛释放量达到 E0 级（≤0.05mg/m</w:t>
            </w:r>
            <w:r>
              <w:rPr>
                <w:rStyle w:val="863"/>
                <w:b w:val="0"/>
                <w:bCs w:val="0"/>
                <w:sz w:val="18"/>
                <w:szCs w:val="18"/>
                <w:lang w:val="en-US" w:eastAsia="zh-CN" w:bidi="ar"/>
              </w:rPr>
              <w:t xml:space="preserve">³</w:t>
            </w:r>
            <w:r>
              <w:rPr>
                <w:rStyle w:val="868"/>
                <w:b w:val="0"/>
                <w:bCs w:val="0"/>
                <w:sz w:val="18"/>
                <w:szCs w:val="18"/>
                <w:lang w:val="en-US" w:eastAsia="zh-CN" w:bidi="ar"/>
              </w:rPr>
              <w:t xml:space="preserve">），保障使用环保安全。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拼接工艺：桌腿与桌面采用榫卯结构结合五金连接件加固，榫卯结构需紧密契合，连接稳固；关键受力部位使用高强度螺丝固定，螺丝需进行防锈处理，确保长期使用不松动。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表面处理：木材表面经砂光、刮腻子、底漆、面漆等至少 8 道涂装工艺处理，涂装环保聚酯漆（PE 漆），涂层总厚度≥0.4mm。漆面平整光滑，色泽均匀，呈现出红胡桃木自然的纹理与质感，硬度达到 3H 及以上（参照 GB/T 6739 - 2018《色漆和清漆 铅笔法测定漆膜硬度》），具备良好的耐磨、耐刮、耐污性能。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确保稳固承重；保证主席台桌放置平稳，无摇晃现象。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桌面下方可根据需求增设加强横梁，增强桌面的承重能力，确保在放置电脑、文件等物品时，桌面不出现明显变形。</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42925"/>
                      <wp:effectExtent l="0" t="0" r="9525" b="5715"/>
                      <wp:docPr id="56" name="图片 60"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60" descr="IMG_315"/>
                              <pic:cNvPicPr>
                                <a:picLocks noChangeAspect="1"/>
                              </pic:cNvPicPr>
                              <pic:nvPr/>
                            </pic:nvPicPr>
                            <pic:blipFill>
                              <a:blip r:embed="rId64"/>
                              <a:stretch/>
                            </pic:blipFill>
                            <pic:spPr bwMode="auto">
                              <a:xfrm>
                                <a:off x="0" y="0"/>
                                <a:ext cx="52387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1.2pt;height:42.8pt;mso-wrap-distance-left:0.0pt;mso-wrap-distance-top:0.0pt;mso-wrap-distance-right:0.0pt;mso-wrap-distance-bottom:0.0pt;" stroked="f" strokeweight="0.75pt">
                      <v:path textboxrect="0,0,0,0"/>
                      <v:imagedata r:id="rId64"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木质主席台红胡桃色，主席台桌整体尺寸要求长不小于 140cm，宽不小于 60cm，高度 76cm，误差范围不超过 ±3mm，确保适配主席台场景使用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桌面采用矩形设计，边角进行倒圆角处理，圆角半径为 2 - 3cm，防止人员磕碰受伤；桌面下方设置开放式储物空间，高度不低于 30cm，方便放置文件、资料等物品。</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主材：采用优质木材需纹理清晰、质地坚硬，无虫蛀、腐朽、死结等缺陷；木材含水率控制在 8% - 12%，符合 GB/T 1931 - 2009《木材含水率测定方法》标准，确保使用过程中不易变形、开裂。保证桌面的整体美观与强度。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辅材：桌腿及内部支撑结构可选用同材质红胡桃木或优质多层板，多层板需符合 GB/T 9846 - 2015《普通胶合板》标准，甲醛释放量达到 E0 级（≤0.05mg/m</w:t>
            </w:r>
            <w:r>
              <w:rPr>
                <w:rStyle w:val="863"/>
                <w:b w:val="0"/>
                <w:bCs w:val="0"/>
                <w:sz w:val="18"/>
                <w:szCs w:val="18"/>
                <w:lang w:val="en-US" w:eastAsia="zh-CN" w:bidi="ar"/>
              </w:rPr>
              <w:t xml:space="preserve">³</w:t>
            </w:r>
            <w:r>
              <w:rPr>
                <w:rStyle w:val="868"/>
                <w:b w:val="0"/>
                <w:bCs w:val="0"/>
                <w:sz w:val="18"/>
                <w:szCs w:val="18"/>
                <w:lang w:val="en-US" w:eastAsia="zh-CN" w:bidi="ar"/>
              </w:rPr>
              <w:t xml:space="preserve">），保障使用环保安全。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拼接工艺：桌腿与桌面采用榫卯结构结合五金连接件加固，榫卯结构需紧密契合，连接稳固；关键受力部位使用高强度螺丝固定，螺丝需进行防锈处理，确保长期使用不松动。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表面处理：木材表面经砂光、刮腻子、底漆、面漆等至少 8 道涂装工艺处理，涂装环保聚酯漆（PE 漆），涂层总厚度≥0.4mm。漆面平整光滑，色泽均匀，呈现出红胡桃木自然的纹理与质感，硬度达到 3H 及以上（参照 GB/T 6739 - 2018《色漆和清漆 铅笔法测定漆膜硬度》），具备良好的耐磨、耐刮、耐污性能。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确保稳固承重；保证主席台桌放置平稳，无摇晃现象。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桌面下方可根据需求增设加强横梁，增强桌面的承重能力，确保在放置电脑、文件等物品时，桌面不出现明显变形。</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14350" cy="571500"/>
                      <wp:effectExtent l="0" t="0" r="3810" b="7620"/>
                      <wp:docPr id="57" name="图片 61"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61" descr="IMG_316"/>
                              <pic:cNvPicPr>
                                <a:picLocks noChangeAspect="1"/>
                              </pic:cNvPicPr>
                              <pic:nvPr/>
                            </pic:nvPicPr>
                            <pic:blipFill>
                              <a:blip r:embed="rId65"/>
                              <a:stretch/>
                            </pic:blipFill>
                            <pic:spPr bwMode="auto">
                              <a:xfrm>
                                <a:off x="0" y="0"/>
                                <a:ext cx="5143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0.5pt;height:45.0pt;mso-wrap-distance-left:0.0pt;mso-wrap-distance-top:0.0pt;mso-wrap-distance-right:0.0pt;mso-wrap-distance-bottom:0.0pt;" stroked="f" strokeweight="0.75pt">
                      <v:path textboxrect="0,0,0,0"/>
                      <v:imagedata r:id="rId65"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实木三人位木质主席台红胡桃色，主席台桌整体尺寸要求长不小于 210cm，宽不小于 90cm，高度 76cm，误差范围不超过 ±3mm，确保适配主席台场景使用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桌面采用矩形设计，边角进行倒圆角处理，圆角半径为 2 - 3cm，防止人员磕碰受伤；桌面下方设置开放式储物空间，高度不低于 30cm，方便放置文件、资料等物品。</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主材：采用优质木材需纹理清晰、质地坚硬，无虫蛀、腐朽、死结等缺陷；木材含水率控制在 8% - 12%，符合 GB/T 1931 - 2009《木材含水率测定方法》标准，确保使用过程中不易变形、开裂。保证桌面的整体美观与强度。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辅材：桌腿及内部支撑结构可选用同材质红胡桃木或优质多层板，多层板需符合 GB/T 9846 - 2015《普通胶合板》标准，甲醛释放量达到 E0 级（≤0.05mg/m</w:t>
            </w:r>
            <w:r>
              <w:rPr>
                <w:rStyle w:val="863"/>
                <w:b w:val="0"/>
                <w:bCs w:val="0"/>
                <w:sz w:val="18"/>
                <w:szCs w:val="18"/>
                <w:lang w:val="en-US" w:eastAsia="zh-CN" w:bidi="ar"/>
              </w:rPr>
              <w:t xml:space="preserve">³</w:t>
            </w:r>
            <w:r>
              <w:rPr>
                <w:rStyle w:val="868"/>
                <w:b w:val="0"/>
                <w:bCs w:val="0"/>
                <w:sz w:val="18"/>
                <w:szCs w:val="18"/>
                <w:lang w:val="en-US" w:eastAsia="zh-CN" w:bidi="ar"/>
              </w:rPr>
              <w:t xml:space="preserve">），保障使用环保安全。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拼接工艺：桌腿与桌面采用榫卯结构结合五金连接件加固，榫卯结构需紧密契合，连接稳固；关键受力部位使用高强度螺丝固定，螺丝需进行防锈处理，确保长期使用不松动。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表面处理：木材表面经砂光、刮腻子、底漆、面漆等至少 8 道涂装工艺处理，涂装环保聚酯漆（PE 漆），涂层总厚度≥0.4mm。漆面平整光滑，色泽均匀，呈现出红胡桃木自然的纹理与质感，硬度达到 3H 及以上（参照 GB/T 6739 - 2018《色漆和清漆 铅笔法测定漆膜硬度》），具备良好的耐磨、耐刮、耐污性能。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确保稳固承重；保证主席台桌放置平稳，无摇晃现象。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桌面下方可根据需求增设加强横梁，增强桌面的承重能力，确保在放置电脑、文件等物品时，桌面不出现明显变形。</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57200"/>
                      <wp:effectExtent l="0" t="0" r="9525" b="0"/>
                      <wp:docPr id="58" name="图片 62"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62" descr="IMG_317"/>
                              <pic:cNvPicPr>
                                <a:picLocks noChangeAspect="1"/>
                              </pic:cNvPicPr>
                              <pic:nvPr/>
                            </pic:nvPicPr>
                            <pic:blipFill>
                              <a:blip r:embed="rId66"/>
                              <a:stretch/>
                            </pic:blipFill>
                            <pic:spPr bwMode="auto">
                              <a:xfrm>
                                <a:off x="0" y="0"/>
                                <a:ext cx="523875"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1.2pt;height:36.0pt;mso-wrap-distance-left:0.0pt;mso-wrap-distance-top:0.0pt;mso-wrap-distance-right:0.0pt;mso-wrap-distance-bottom:0.0pt;" stroked="f" strokeweight="0.75pt">
                      <v:path textboxrect="0,0,0,0"/>
                      <v:imagedata r:id="rId66"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会议条桌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Style w:val="868"/>
                <w:rFonts w:hint="eastAsia"/>
                <w:b w:val="0"/>
                <w:bCs w:val="0"/>
                <w:sz w:val="18"/>
                <w:szCs w:val="18"/>
                <w:highlight w:val="none"/>
                <w:lang w:val="en-US" w:eastAsia="zh-CN" w:bidi="ar"/>
              </w:rPr>
              <w:t xml:space="preserve">1.</w:t>
            </w:r>
            <w:r>
              <w:rPr>
                <w:rStyle w:val="868"/>
                <w:b w:val="0"/>
                <w:bCs w:val="0"/>
                <w:sz w:val="18"/>
                <w:szCs w:val="18"/>
                <w:highlight w:val="none"/>
                <w:lang w:val="en-US" w:eastAsia="zh-CN" w:bidi="ar"/>
              </w:rPr>
              <w:t xml:space="preserve">木质条桌红胡桃色，条桌整体规格为长 140cm× 宽 40cm× 高 75cm，误差范围不超过 ±3mm，确保符合使用场景的空间适配需求 。</w:t>
            </w:r>
            <w:r>
              <w:rPr>
                <w:rStyle w:val="868"/>
                <w:b w:val="0"/>
                <w:bCs w:val="0"/>
                <w:sz w:val="18"/>
                <w:szCs w:val="18"/>
                <w:highlight w:val="none"/>
                <w:lang w:val="en-US" w:eastAsia="zh-CN" w:bidi="ar"/>
              </w:rPr>
              <w:br/>
            </w:r>
            <w:r>
              <w:rPr>
                <w:rStyle w:val="868"/>
                <w:b w:val="0"/>
                <w:bCs w:val="0"/>
                <w:sz w:val="18"/>
                <w:szCs w:val="18"/>
                <w:highlight w:val="none"/>
                <w:lang w:val="en-US" w:eastAsia="zh-CN" w:bidi="ar"/>
              </w:rPr>
              <w:t xml:space="preserve">背板高度为 60cm，宽度与桌面同长，即 140cm，厚度不小于 1.8cm；背板与桌面、桌腿紧密连接，稳固支撑，防止倾倒。桌面边角采用倒圆角处理，圆角半径 1 - 2cm，避免磕碰受伤；桌面下方预留空间高度不低于 60cm，方便腿部活动。</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2.</w:t>
            </w:r>
            <w:r>
              <w:rPr>
                <w:rStyle w:val="868"/>
                <w:b w:val="0"/>
                <w:bCs w:val="0"/>
                <w:sz w:val="18"/>
                <w:szCs w:val="18"/>
                <w:highlight w:val="none"/>
                <w:lang w:val="en-US" w:eastAsia="zh-CN" w:bidi="ar"/>
              </w:rPr>
              <w:t xml:space="preserve">主材：桌面、桌腿及背板均采用优质</w:t>
            </w:r>
            <w:r>
              <w:rPr>
                <w:rStyle w:val="868"/>
                <w:rFonts w:hint="eastAsia"/>
                <w:b w:val="0"/>
                <w:bCs w:val="0"/>
                <w:sz w:val="18"/>
                <w:szCs w:val="18"/>
                <w:highlight w:val="none"/>
                <w:lang w:val="en-US" w:eastAsia="zh-CN" w:bidi="ar"/>
              </w:rPr>
              <w:t xml:space="preserve">中密度纤维板</w:t>
            </w:r>
            <w:r>
              <w:rPr>
                <w:rStyle w:val="868"/>
                <w:b w:val="0"/>
                <w:bCs w:val="0"/>
                <w:sz w:val="18"/>
                <w:szCs w:val="18"/>
                <w:highlight w:val="none"/>
                <w:lang w:val="en-US" w:eastAsia="zh-CN" w:bidi="ar"/>
              </w:rPr>
              <w:t xml:space="preserve">、纹理美观的木材，无虫蛀、腐朽、死结等缺陷；木材含水率严格控制在 8% - 12%，符合 GB/T 1931 - 2009《木材含水率测定方法》标准，防止使用过程中变形、开裂。</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3.</w:t>
            </w:r>
            <w:r>
              <w:rPr>
                <w:rStyle w:val="868"/>
                <w:b w:val="0"/>
                <w:bCs w:val="0"/>
                <w:sz w:val="18"/>
                <w:szCs w:val="18"/>
                <w:highlight w:val="none"/>
                <w:lang w:val="en-US" w:eastAsia="zh-CN" w:bidi="ar"/>
              </w:rPr>
              <w:t xml:space="preserve">拼接工艺：桌腿与桌面采用榫卯结构结合五金件加固，榫卯紧密契合，五金件连接牢固；背板与桌面、桌腿通过卡槽或榫卯方式连接，确保稳固，关键部位可使用螺丝进一步固定，螺丝需进行防锈处理。</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4.</w:t>
            </w:r>
            <w:r>
              <w:rPr>
                <w:rStyle w:val="868"/>
                <w:b w:val="0"/>
                <w:bCs w:val="0"/>
                <w:sz w:val="18"/>
                <w:szCs w:val="18"/>
                <w:highlight w:val="none"/>
                <w:lang w:val="en-US" w:eastAsia="zh-CN" w:bidi="ar"/>
              </w:rPr>
              <w:t xml:space="preserve">表面处理：木材表面经砂光、刮腻子、底漆、面漆等至少 6 道涂装工艺，涂装环保聚酯漆（PE 漆）或水性漆，涂层总厚度≥0.3mm。漆面平整光滑，色泽均匀，充分展现木材纹理，硬度达到 2H 及以上（参照 GB/T 6739 - 2018《色漆和清漆 铅笔法测定漆膜硬度》），具备良好的耐磨、耐刮、耐污性能。</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5.</w:t>
            </w:r>
            <w:r>
              <w:rPr>
                <w:rStyle w:val="868"/>
                <w:b w:val="0"/>
                <w:bCs w:val="0"/>
                <w:sz w:val="18"/>
                <w:szCs w:val="18"/>
                <w:highlight w:val="none"/>
                <w:lang w:val="en-US" w:eastAsia="zh-CN" w:bidi="ar"/>
              </w:rPr>
              <w:t xml:space="preserve">确保稳固承重；桌腿底部安装可调节脚垫，调节范围不小于 10mm，以适应不同地面平整度，保证条桌放置平稳，无摇晃现象。</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b w:val="0"/>
                <w:bCs w:val="0"/>
                <w:sz w:val="18"/>
                <w:szCs w:val="18"/>
                <w:highlight w:val="none"/>
                <w:lang w:val="en-US" w:eastAsia="zh-CN" w:bidi="ar"/>
              </w:rPr>
              <w:t xml:space="preserve">背板采用双层板结构或增加横向支撑条，增强背板的稳定性与抗变形能力；背板与桌面连接处可设计装饰线条，提升美观度。</w:t>
            </w:r>
            <w:r>
              <w:rPr>
                <w:rStyle w:val="869"/>
                <w:rFonts w:eastAsia="黑体"/>
                <w:b w:val="0"/>
                <w:bCs w:val="0"/>
                <w:sz w:val="18"/>
                <w:szCs w:val="18"/>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47675"/>
                      <wp:effectExtent l="0" t="0" r="9525" b="9525"/>
                      <wp:docPr id="59" name="图片 63"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63" descr="IMG_318"/>
                              <pic:cNvPicPr>
                                <a:picLocks noChangeAspect="1"/>
                              </pic:cNvPicPr>
                              <pic:nvPr/>
                            </pic:nvPicPr>
                            <pic:blipFill>
                              <a:blip r:embed="rId67"/>
                              <a:stretch/>
                            </pic:blipFill>
                            <pic:spPr bwMode="auto">
                              <a:xfrm>
                                <a:off x="0" y="0"/>
                                <a:ext cx="523875"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1.2pt;height:35.2pt;mso-wrap-distance-left:0.0pt;mso-wrap-distance-top:0.0pt;mso-wrap-distance-right:0.0pt;mso-wrap-distance-bottom:0.0pt;" stroked="f" strokeweight="0.75pt">
                      <v:path textboxrect="0,0,0,0"/>
                      <v:imagedata r:id="rId67" o:title=""/>
                    </v:shape>
                  </w:pict>
                </mc:Fallback>
              </mc:AlternateContent>
            </w:r>
            <w:r/>
          </w:p>
        </w:tc>
      </w:tr>
      <w:tr>
        <w:trPr>
          <w:trHeight w:val="1018"/>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文件柜整体规格为高 1850mm× 宽 900mm× 深 400mm，误差范围不超过 ±3mm，确保适配目标存放空间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柜体内部采用分层设计，配备不少于 5 块可调节层板，层板调节间距为 50mm，满足不同厚度文件、资料存放需求；底部预留 150mm 空间用于放置常用物品或备用文件盒；顶部设置封闭抽屉，尺寸为长 850mm× 宽 350mm× 深 100mm，可存放重要私密文件。</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柜体材质：柜体采用优质冷轧钢板，板材厚度≥</w:t>
            </w:r>
            <w:r>
              <w:rPr>
                <w:rStyle w:val="868"/>
                <w:rFonts w:hint="eastAsia"/>
                <w:b w:val="0"/>
                <w:bCs w:val="0"/>
                <w:sz w:val="18"/>
                <w:szCs w:val="18"/>
                <w:lang w:val="en-US" w:eastAsia="zh-CN" w:bidi="ar"/>
              </w:rPr>
              <w:t xml:space="preserve">0.8</w:t>
            </w:r>
            <w:r>
              <w:rPr>
                <w:rStyle w:val="868"/>
                <w:b w:val="0"/>
                <w:bCs w:val="0"/>
                <w:sz w:val="18"/>
                <w:szCs w:val="18"/>
                <w:lang w:val="en-US" w:eastAsia="zh-CN" w:bidi="ar"/>
              </w:rPr>
              <w:t xml:space="preserve">mm，符合 GB/T 708 - 2019《冷轧钢板和钢带的尺寸、外形、重量及允许偏差》标准，具备良好的承重与耐用性。柜门钢板厚度≥</w:t>
            </w:r>
            <w:r>
              <w:rPr>
                <w:rStyle w:val="868"/>
                <w:rFonts w:hint="eastAsia"/>
                <w:b w:val="0"/>
                <w:bCs w:val="0"/>
                <w:sz w:val="18"/>
                <w:szCs w:val="18"/>
                <w:lang w:val="en-US" w:eastAsia="zh-CN" w:bidi="ar"/>
              </w:rPr>
              <w:t xml:space="preserve">0.8</w:t>
            </w:r>
            <w:r>
              <w:rPr>
                <w:rStyle w:val="868"/>
                <w:b w:val="0"/>
                <w:bCs w:val="0"/>
                <w:sz w:val="18"/>
                <w:szCs w:val="18"/>
                <w:lang w:val="en-US" w:eastAsia="zh-CN" w:bidi="ar"/>
              </w:rPr>
              <w:t xml:space="preserve">mm，确保结构稳固。</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焊接工艺：柜体各部件采用二氧化碳气体保护焊焊接，焊缝均匀，焊接处表面平整，无虚焊、漏焊、焊穿等现象，焊缝高度不超过 3mm，焊接强度需符合 GB/T 19867.1 - 2005《电弧焊焊接工艺规程》要求，保障柜体整体牢固性。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表面处理：板材经脱脂、酸洗、磷化、中和、表调、静电喷塑等工艺处理，塑粉采用环氧树脂粉末，涂层厚度≥80μm，表面平整、色泽均匀，无流挂、气泡、剥落等缺陷。涂层需通过 GB/T 1771 - 2007《色漆和清漆 耐中性盐雾性能的测定》48 小时盐雾测试，具备防锈、耐腐蚀能力。</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柜门设计：采用对开式柜门设计，每扇柜门宽度为 450mm，柜门安装优质合页，确保开合顺畅，柜门关闭后与柜体缝隙均匀，误差不超过 2mm；可配备暗藏式拉手，避免磕碰，提升美观性与安全性。</w:t>
            </w:r>
            <w:r>
              <w:rPr>
                <w:rStyle w:val="868"/>
                <w:rFonts w:hint="eastAsia"/>
                <w:b w:val="0"/>
                <w:bCs w:val="0"/>
                <w:sz w:val="18"/>
                <w:szCs w:val="18"/>
                <w:lang w:val="en-US" w:eastAsia="zh-CN" w:bidi="ar"/>
              </w:rPr>
              <w:t xml:space="preserve">玻璃选用钢化玻璃：外观质量点状缺陷、点状缺陷密集度、划伤均满足要求，无裂纹、无断面缺陷、无线道、无夹钳印；耐热性冲击性能耐200℃温差不破坏；耐重力冲击性能合格；弯曲度：弓形时≤0.01%、波形时≤0.02%；玻璃件外露周边应磨边处理，安装牢固；玻璃应光洁平滑，不应有裂纹、划伤、沙粒、疙痦和麻点等缺陷；弯曲强度≥150MPa；表面应力≥100MPa。</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锁具要求：配备一把优质机械锁或电子密码锁，锁具需通过公安部安全与警用电子产品质量检测中心检测，具备防撬、防技术开启功能；机械锁钥匙采用防盗设计。</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加强结构：层板采用加强筋设计，每层承重不低于 30kg；柜体内部设置横向与纵向加强支撑，确保满载时柜体不变形。</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稳定性：柜体需具备良好的稳定性，在空载状态下，柜体倾斜角度不超过 10° 时不倾倒；在满载状态下，柜体无明显变形、晃动。柜体底部配备可调节脚垫，调节范围不小于 10mm，以适应不同地面平整度。</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14350"/>
                      <wp:effectExtent l="0" t="0" r="9525" b="3810"/>
                      <wp:docPr id="60" name="图片 64"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64" descr="IMG_319"/>
                              <pic:cNvPicPr>
                                <a:picLocks noChangeAspect="1"/>
                              </pic:cNvPicPr>
                              <pic:nvPr/>
                            </pic:nvPicPr>
                            <pic:blipFill>
                              <a:blip r:embed="rId68"/>
                              <a:stretch/>
                            </pic:blipFill>
                            <pic:spPr bwMode="auto">
                              <a:xfrm>
                                <a:off x="0" y="0"/>
                                <a:ext cx="5238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1.2pt;height:40.5pt;mso-wrap-distance-left:0.0pt;mso-wrap-distance-top:0.0pt;mso-wrap-distance-right:0.0pt;mso-wrap-distance-bottom:0.0pt;" stroked="f" strokeweight="0.75pt">
                      <v:path textboxrect="0,0,0,0"/>
                      <v:imagedata r:id="rId68"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茶水柜整体尺寸为长 1200mm× 宽 400mm× 高 850mm，误差范围不超过 ±3mm，确保适配目标使用空间。</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柜体内部结构合理规划，上层设置开放式置物架，高度不低于 300mm，用于放置茶具、水杯等常用物品；下层配备对开式柜门，柜门内设置 1 - 2 块可调节层板，层板调节间距为 50mm，满足不同尺寸物品存放需求；底部预留 100mm 空间，可用于放置小型电器或清洁用品。</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主材：柜体、柜门及置物架均采用优质木材，木材需无虫蛀、腐朽、死结等缺陷；木材含水率严格控制在 8% - 12%，符合 GB/T 1931 - 2009《木材含水率测定方法》标准，防止使用过程中变形、开裂。单块木材拼接宽度不小于 80mm，保证整体美观与强度。</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内部支撑结构及连接件可选用优质多层板或实木方材，多层板需符合 GB/T 9846 - 2015《普通胶合板》标准，甲醛释放量达到 E0 级（≤0.05mg/m</w:t>
            </w:r>
            <w:r>
              <w:rPr>
                <w:rStyle w:val="863"/>
                <w:b w:val="0"/>
                <w:bCs w:val="0"/>
                <w:sz w:val="18"/>
                <w:szCs w:val="18"/>
                <w:lang w:val="en-US" w:eastAsia="zh-CN" w:bidi="ar"/>
              </w:rPr>
              <w:t xml:space="preserve">³</w:t>
            </w:r>
            <w:r>
              <w:rPr>
                <w:rStyle w:val="868"/>
                <w:b w:val="0"/>
                <w:bCs w:val="0"/>
                <w:sz w:val="18"/>
                <w:szCs w:val="18"/>
                <w:lang w:val="en-US" w:eastAsia="zh-CN" w:bidi="ar"/>
              </w:rPr>
              <w:t xml:space="preserve">），保障使用环保安全；连接件采用不锈钢材质，具备防锈能力。</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拼接工艺：柜体各部件采用榫卯结构结合五金件加固，榫卯紧密契合，五金件连接牢固；柜门与柜体通过优质合页连接，合页开合顺畅，无卡顿现象，使用寿命不少于 5000 次开合；关键部位可使用螺丝进一步固定，螺丝需进行防锈处理。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表面处理：木材表面经砂光、刮腻子、底漆、面漆等至少 6 道涂装工艺，涂装环保聚酯漆（PE 漆）或水性漆，涂层总厚度≥0.3mm。漆面平整光滑，色泽均匀，充分展现木材纹理，硬度达到 2H 及以上（参照 GB/T 6739 - 2018《色漆和清漆 铅笔法测定漆膜硬度》），具备良好的耐磨、耐刮、耐污性能；颜色要求为 [具体颜色，如原木色、深棕色等]。</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柜体背部设置散热孔，孔径为 10mm，孔间距为 100mm，确保柜内空气流通，防止因放置电器导致热量积聚。</w:t>
            </w:r>
            <w:r>
              <w:rPr>
                <w:rStyle w:val="869"/>
                <w:rFonts w:eastAsia="黑体"/>
                <w:b w:val="0"/>
                <w:bCs w:val="0"/>
                <w:sz w:val="18"/>
                <w:szCs w:val="1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52450"/>
                      <wp:effectExtent l="0" t="0" r="9525" b="11430"/>
                      <wp:docPr id="61" name="图片 65"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65" descr="IMG_320"/>
                              <pic:cNvPicPr>
                                <a:picLocks noChangeAspect="1"/>
                              </pic:cNvPicPr>
                              <pic:nvPr/>
                            </pic:nvPicPr>
                            <pic:blipFill>
                              <a:blip r:embed="rId69"/>
                              <a:stretch/>
                            </pic:blipFill>
                            <pic:spPr bwMode="auto">
                              <a:xfrm>
                                <a:off x="0" y="0"/>
                                <a:ext cx="5238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1.2pt;height:43.5pt;mso-wrap-distance-left:0.0pt;mso-wrap-distance-top:0.0pt;mso-wrap-distance-right:0.0pt;mso-wrap-distance-bottom:0.0pt;" stroked="f" strokeweight="0.75pt">
                      <v:path textboxrect="0,0,0,0"/>
                      <v:imagedata r:id="rId69"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陶瓷杯</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8"/>
                <w:rFonts w:hint="eastAsia" w:hAnsi="宋体"/>
                <w:b w:val="0"/>
                <w:bCs w:val="0"/>
                <w:sz w:val="18"/>
                <w:szCs w:val="18"/>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1.logo可定制</w:t>
            </w:r>
            <w:r>
              <w:rPr>
                <w:rStyle w:val="868"/>
                <w:rFonts w:hAnsi="宋体"/>
                <w:b w:val="0"/>
                <w:bCs w:val="0"/>
                <w:sz w:val="18"/>
                <w:szCs w:val="18"/>
                <w:lang w:val="en-US" w:eastAsia="zh-CN" w:bidi="ar"/>
              </w:rPr>
              <w:t xml:space="preserve">高白瓷（瓷质密度≥2.3g/cm³，吸水率≤0.5%，符合食品安全标准，无铅镉溶出）；釉面：高温釉（烧制温度≥1250℃，釉面光滑无针孔、气泡，硬度≥6H（防刮擦，使用钢丝球擦拭无划痕）。</w:t>
            </w:r>
            <w:r>
              <w:rPr>
                <w:rStyle w:val="868"/>
                <w:rFonts w:hint="eastAsia" w:hAnsi="宋体"/>
                <w:b w:val="0"/>
                <w:bCs w:val="0"/>
                <w:sz w:val="18"/>
                <w:szCs w:val="18"/>
                <w:lang w:val="en-US" w:eastAsia="zh-CN" w:bidi="ar"/>
              </w:rPr>
              <w:t xml:space="preserve">   </w:t>
            </w:r>
            <w:r/>
          </w:p>
          <w:p>
            <w:pPr>
              <w:numPr>
                <w:ilvl w:val="0"/>
                <w:numId w:val="0"/>
              </w:num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2.</w:t>
            </w:r>
            <w:r>
              <w:rPr>
                <w:rStyle w:val="868"/>
                <w:rFonts w:hAnsi="宋体"/>
                <w:b w:val="0"/>
                <w:bCs w:val="0"/>
                <w:sz w:val="18"/>
                <w:szCs w:val="18"/>
                <w:lang w:val="en-US" w:eastAsia="zh-CN" w:bidi="ar"/>
              </w:rPr>
              <w:t xml:space="preserve">耐高温：可承受 - 20℃-100℃温差骤变（如从冰箱取出直接倒入沸水无开裂）；抗冲击：1 米高度跌落至木质桌面（日常办公场景）无杯体碎裂（允许轻微磕碰痕迹，不影响使用）。</w:t>
            </w:r>
            <w:r/>
          </w:p>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hAnsi="宋体"/>
                <w:b w:val="0"/>
                <w:bCs w:val="0"/>
                <w:sz w:val="18"/>
                <w:szCs w:val="18"/>
                <w:lang w:val="en-US" w:eastAsia="zh-CN" w:bidi="ar"/>
              </w:rPr>
              <w:t xml:space="preserve">3.</w:t>
            </w:r>
            <w:r>
              <w:rPr>
                <w:rStyle w:val="868"/>
                <w:rFonts w:hAnsi="宋体"/>
                <w:b w:val="0"/>
                <w:bCs w:val="0"/>
                <w:sz w:val="18"/>
                <w:szCs w:val="18"/>
                <w:lang w:val="en-US" w:eastAsia="zh-CN" w:bidi="ar"/>
              </w:rPr>
              <w:t xml:space="preserve">釉面：使用 6 个月后无脱釉、变色、划痕（正常使用频率下）。</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14350"/>
                      <wp:effectExtent l="0" t="0" r="9525" b="3810"/>
                      <wp:docPr id="62" name="图片 66"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66" descr="IMG_321"/>
                              <pic:cNvPicPr>
                                <a:picLocks noChangeAspect="1"/>
                              </pic:cNvPicPr>
                              <pic:nvPr/>
                            </pic:nvPicPr>
                            <pic:blipFill>
                              <a:blip r:embed="rId70"/>
                              <a:stretch/>
                            </pic:blipFill>
                            <pic:spPr bwMode="auto">
                              <a:xfrm>
                                <a:off x="0" y="0"/>
                                <a:ext cx="5238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1.2pt;height:40.5pt;mso-wrap-distance-left:0.0pt;mso-wrap-distance-top:0.0pt;mso-wrap-distance-right:0.0pt;mso-wrap-distance-bottom:0.0pt;" stroked="f" strokeweight="0.75pt">
                      <v:path textboxrect="0,0,0,0"/>
                      <v:imagedata r:id="rId70"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Style w:val="868"/>
                <w:rFonts w:hint="eastAsia"/>
                <w:b w:val="0"/>
                <w:bCs w:val="0"/>
                <w:sz w:val="18"/>
                <w:szCs w:val="18"/>
                <w:highlight w:val="none"/>
                <w:lang w:val="en-US" w:eastAsia="zh-CN" w:bidi="ar"/>
              </w:rPr>
              <w:t xml:space="preserve">1.</w:t>
            </w:r>
            <w:r>
              <w:rPr>
                <w:rStyle w:val="868"/>
                <w:b w:val="0"/>
                <w:bCs w:val="0"/>
                <w:sz w:val="18"/>
                <w:szCs w:val="18"/>
                <w:highlight w:val="none"/>
                <w:lang w:val="en-US" w:eastAsia="zh-CN" w:bidi="ar"/>
              </w:rPr>
              <w:t xml:space="preserve">木质条桌红胡桃色，条桌整体规格为长 140cm× 宽 40cm× 高 75cm，误差范围不超过 ±3mm，确保符合使用场景的空间适配需求 。</w:t>
            </w:r>
            <w:r>
              <w:rPr>
                <w:rStyle w:val="868"/>
                <w:b w:val="0"/>
                <w:bCs w:val="0"/>
                <w:sz w:val="18"/>
                <w:szCs w:val="18"/>
                <w:highlight w:val="none"/>
                <w:lang w:val="en-US" w:eastAsia="zh-CN" w:bidi="ar"/>
              </w:rPr>
              <w:br/>
            </w:r>
            <w:r>
              <w:rPr>
                <w:rStyle w:val="868"/>
                <w:b w:val="0"/>
                <w:bCs w:val="0"/>
                <w:sz w:val="18"/>
                <w:szCs w:val="18"/>
                <w:highlight w:val="none"/>
                <w:lang w:val="en-US" w:eastAsia="zh-CN" w:bidi="ar"/>
              </w:rPr>
              <w:t xml:space="preserve">背板高度为 60cm，宽度与桌面同长，即 140cm，厚度不小于 1.8cm；背板与桌面、桌腿紧密连接，稳固支撑，防止倾倒。桌面边角采用倒圆角处理，圆角半径 1 - 2cm，避免磕碰受伤；桌面下方预留空间高度不低于 60cm，方便腿部活动。</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2.</w:t>
            </w:r>
            <w:r>
              <w:rPr>
                <w:rStyle w:val="868"/>
                <w:b w:val="0"/>
                <w:bCs w:val="0"/>
                <w:sz w:val="18"/>
                <w:szCs w:val="18"/>
                <w:highlight w:val="none"/>
                <w:lang w:val="en-US" w:eastAsia="zh-CN" w:bidi="ar"/>
              </w:rPr>
              <w:t xml:space="preserve">主材：桌面、桌腿及背板均采用优质</w:t>
            </w:r>
            <w:r>
              <w:rPr>
                <w:rStyle w:val="868"/>
                <w:rFonts w:hint="eastAsia"/>
                <w:b w:val="0"/>
                <w:bCs w:val="0"/>
                <w:sz w:val="18"/>
                <w:szCs w:val="18"/>
                <w:highlight w:val="none"/>
                <w:lang w:val="en-US" w:eastAsia="zh-CN" w:bidi="ar"/>
              </w:rPr>
              <w:t xml:space="preserve">中密度纤维板</w:t>
            </w:r>
            <w:r>
              <w:rPr>
                <w:rStyle w:val="868"/>
                <w:b w:val="0"/>
                <w:bCs w:val="0"/>
                <w:sz w:val="18"/>
                <w:szCs w:val="18"/>
                <w:highlight w:val="none"/>
                <w:lang w:val="en-US" w:eastAsia="zh-CN" w:bidi="ar"/>
              </w:rPr>
              <w:t xml:space="preserve">、纹理美观的木材，无虫蛀、腐朽、死结等缺陷；木材含水率严格控制在 8% - 12%，符合 GB/T 1931 - 2009《木材含水率测定方法》标准，防止使用过程中变形、开裂。</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3.</w:t>
            </w:r>
            <w:r>
              <w:rPr>
                <w:rStyle w:val="868"/>
                <w:b w:val="0"/>
                <w:bCs w:val="0"/>
                <w:sz w:val="18"/>
                <w:szCs w:val="18"/>
                <w:highlight w:val="none"/>
                <w:lang w:val="en-US" w:eastAsia="zh-CN" w:bidi="ar"/>
              </w:rPr>
              <w:t xml:space="preserve">拼接工艺：桌腿与桌面采用榫卯结构结合五金件加固，榫卯紧密契合，五金件连接牢固；背板与桌面、桌腿通过卡槽或榫卯方式连接，确保稳固，关键部位可使用螺丝进一步固定，螺丝需进行防锈处理。</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4.</w:t>
            </w:r>
            <w:r>
              <w:rPr>
                <w:rStyle w:val="868"/>
                <w:b w:val="0"/>
                <w:bCs w:val="0"/>
                <w:sz w:val="18"/>
                <w:szCs w:val="18"/>
                <w:highlight w:val="none"/>
                <w:lang w:val="en-US" w:eastAsia="zh-CN" w:bidi="ar"/>
              </w:rPr>
              <w:t xml:space="preserve">表面处理：木材表面经砂光、刮腻子、底漆、面漆等至少 6 道涂装工艺，涂装环保聚酯漆（PE 漆）或水性漆，涂层总厚度≥0.3mm。漆面平整光滑，色泽均匀，充分展现木材纹理，硬度达到 2H 及以上（参照 GB/T 6739 - 2018《色漆和清漆 铅笔法测定漆膜硬度》），具备良好的耐磨、耐刮、耐污性能。</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5.</w:t>
            </w:r>
            <w:r>
              <w:rPr>
                <w:rStyle w:val="868"/>
                <w:b w:val="0"/>
                <w:bCs w:val="0"/>
                <w:sz w:val="18"/>
                <w:szCs w:val="18"/>
                <w:highlight w:val="none"/>
                <w:lang w:val="en-US" w:eastAsia="zh-CN" w:bidi="ar"/>
              </w:rPr>
              <w:t xml:space="preserve">确保稳固承重；桌腿底部安装可调节脚垫，调节范围不小于 10mm，以适应不同地面平整度，保证条桌放置平稳，无摇晃现象。</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b w:val="0"/>
                <w:bCs w:val="0"/>
                <w:sz w:val="18"/>
                <w:szCs w:val="18"/>
                <w:highlight w:val="none"/>
                <w:lang w:val="en-US" w:eastAsia="zh-CN" w:bidi="ar"/>
              </w:rPr>
              <w:t xml:space="preserve">背板采用双层板结构或增加横向支撑条，增强背板的稳定性与抗变形能力；背板与桌面连接处可设计装饰线条，提升美观度。</w:t>
            </w:r>
            <w:r>
              <w:rPr>
                <w:rStyle w:val="869"/>
                <w:rFonts w:eastAsia="黑体"/>
                <w:b w:val="0"/>
                <w:bCs w:val="0"/>
                <w:sz w:val="18"/>
                <w:szCs w:val="18"/>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47675"/>
                      <wp:effectExtent l="0" t="0" r="9525" b="9525"/>
                      <wp:docPr id="63" name="图片 67"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67" descr="IMG_322"/>
                              <pic:cNvPicPr>
                                <a:picLocks noChangeAspect="1"/>
                              </pic:cNvPicPr>
                              <pic:nvPr/>
                            </pic:nvPicPr>
                            <pic:blipFill>
                              <a:blip r:embed="rId67"/>
                              <a:stretch/>
                            </pic:blipFill>
                            <pic:spPr bwMode="auto">
                              <a:xfrm>
                                <a:off x="0" y="0"/>
                                <a:ext cx="523875"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1.2pt;height:35.2pt;mso-wrap-distance-left:0.0pt;mso-wrap-distance-top:0.0pt;mso-wrap-distance-right:0.0pt;mso-wrap-distance-bottom:0.0pt;" stroked="f" strokeweight="0.75pt">
                      <v:path textboxrect="0,0,0,0"/>
                      <v:imagedata r:id="rId6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green"/>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衣架</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Style w:val="868"/>
                <w:rFonts w:hint="eastAsia"/>
                <w:b w:val="0"/>
                <w:bCs w:val="0"/>
                <w:sz w:val="18"/>
                <w:szCs w:val="18"/>
                <w:highlight w:val="none"/>
                <w:lang w:val="en-US" w:eastAsia="zh-CN" w:bidi="ar"/>
              </w:rPr>
              <w:suppressLineNumbers w:val="0"/>
            </w:pPr>
            <w:r>
              <w:rPr>
                <w:rStyle w:val="868"/>
                <w:rFonts w:hint="eastAsia"/>
                <w:b w:val="0"/>
                <w:bCs w:val="0"/>
                <w:sz w:val="18"/>
                <w:szCs w:val="18"/>
                <w:highlight w:val="none"/>
                <w:lang w:val="en-US" w:eastAsia="zh-CN" w:bidi="ar"/>
              </w:rPr>
              <w:t xml:space="preserve">1.200*160cm含挂钩</w:t>
            </w:r>
            <w:r/>
          </w:p>
          <w:p>
            <w:pPr>
              <w:jc w:val="left"/>
              <w:keepLines w:val="0"/>
              <w:keepNext w:val="0"/>
              <w:widowControl/>
              <w:rPr>
                <w:rStyle w:val="868"/>
                <w:rFonts w:hint="eastAsia"/>
                <w:b w:val="0"/>
                <w:bCs w:val="0"/>
                <w:sz w:val="18"/>
                <w:szCs w:val="18"/>
                <w:highlight w:val="none"/>
                <w:lang w:val="en-US" w:eastAsia="zh-CN" w:bidi="ar"/>
              </w:rPr>
              <w:suppressLineNumbers w:val="0"/>
            </w:pPr>
            <w:r>
              <w:rPr>
                <w:rStyle w:val="868"/>
                <w:rFonts w:hint="eastAsia"/>
                <w:b w:val="0"/>
                <w:bCs w:val="0"/>
                <w:sz w:val="18"/>
                <w:szCs w:val="18"/>
                <w:highlight w:val="none"/>
                <w:lang w:val="en-US" w:eastAsia="zh-CN" w:bidi="ar"/>
              </w:rPr>
              <w:t xml:space="preserve">2.基材：采用优质品牌厚度0.6mm以上冷轧钢板冲压而成，产品表面经除油、清洗、去锈、磷化清洗、预处理、清洗、钝化等九道工序处理，采用流行色亚光静电喷塑，高温塑化而成。</w:t>
            </w:r>
            <w:r/>
          </w:p>
          <w:p>
            <w:pPr>
              <w:jc w:val="left"/>
              <w:keepLines w:val="0"/>
              <w:keepNext w:val="0"/>
              <w:widowControl/>
              <w:rPr>
                <w:rStyle w:val="868"/>
                <w:rFonts w:hint="eastAsia"/>
                <w:b w:val="0"/>
                <w:bCs w:val="0"/>
                <w:sz w:val="18"/>
                <w:szCs w:val="18"/>
                <w:highlight w:val="none"/>
                <w:lang w:val="en-US" w:eastAsia="zh-CN" w:bidi="ar"/>
              </w:rPr>
              <w:suppressLineNumbers w:val="0"/>
            </w:pPr>
            <w:r>
              <w:rPr>
                <w:rStyle w:val="868"/>
                <w:rFonts w:hint="eastAsia"/>
                <w:b w:val="0"/>
                <w:bCs w:val="0"/>
                <w:sz w:val="18"/>
                <w:szCs w:val="18"/>
                <w:highlight w:val="none"/>
                <w:lang w:val="en-US" w:eastAsia="zh-CN" w:bidi="ar"/>
              </w:rPr>
              <w:t xml:space="preserve">3..冷轧钢板通过乙酸盐雾试验，连续喷雾试验≥150小时，镀层本身的耐腐蚀等级及镀层对基体的保护等级达到10级。</w:t>
            </w:r>
            <w:r/>
          </w:p>
          <w:p>
            <w:pPr>
              <w:jc w:val="left"/>
              <w:keepLines w:val="0"/>
              <w:keepNext w:val="0"/>
              <w:widowControl/>
              <w:rPr>
                <w:rStyle w:val="868"/>
                <w:rFonts w:hint="eastAsia"/>
                <w:b w:val="0"/>
                <w:bCs w:val="0"/>
                <w:sz w:val="18"/>
                <w:szCs w:val="18"/>
                <w:highlight w:val="none"/>
                <w:lang w:val="en-US" w:eastAsia="zh-CN" w:bidi="ar"/>
              </w:rPr>
              <w:suppressLineNumbers w:val="0"/>
            </w:pPr>
            <w:r>
              <w:rPr>
                <w:rStyle w:val="868"/>
                <w:rFonts w:hint="eastAsia"/>
                <w:b w:val="0"/>
                <w:bCs w:val="0"/>
                <w:sz w:val="18"/>
                <w:szCs w:val="18"/>
                <w:highlight w:val="none"/>
                <w:lang w:val="en-US" w:eastAsia="zh-CN" w:bidi="ar"/>
              </w:rPr>
              <w:t xml:space="preserve">4.喷塑表面平整、光滑，无流挂、起料、皱皮、露底脱落、伤痕等影响质量的缺陷；</w:t>
            </w:r>
            <w:r/>
          </w:p>
          <w:p>
            <w:pPr>
              <w:jc w:val="left"/>
              <w:keepLines w:val="0"/>
              <w:keepNext w:val="0"/>
              <w:widowControl/>
              <w:rPr>
                <w:rFonts w:hint="eastAsia" w:ascii="黑体" w:hAnsi="宋体" w:eastAsia="黑体" w:cs="黑体"/>
                <w:b w:val="0"/>
                <w:bCs w:val="0"/>
                <w:i w:val="0"/>
                <w:iCs w:val="0"/>
                <w:color w:val="000000"/>
                <w:sz w:val="18"/>
                <w:szCs w:val="18"/>
                <w:highlight w:val="green"/>
                <w:u w:val="none"/>
                <w:lang w:val="en-US" w:eastAsia="zh-CN" w:bidi="ar"/>
              </w:rPr>
              <w:suppressLineNumbers w:val="0"/>
            </w:pPr>
            <w:r>
              <w:rPr>
                <w:rStyle w:val="868"/>
                <w:rFonts w:hint="eastAsia"/>
                <w:b w:val="0"/>
                <w:bCs w:val="0"/>
                <w:sz w:val="18"/>
                <w:szCs w:val="18"/>
                <w:highlight w:val="none"/>
                <w:lang w:val="en-US" w:eastAsia="zh-CN" w:bidi="ar"/>
              </w:rPr>
              <w:t xml:space="preserve">5.耐腐菌性不低于1级，平整度≤0.2mm，翘曲度≤1mm，符合GB/T 3325-2017《金属家具通用技术条件》、GB/T 1741-2020《漆膜耐霉菌性测定法》标准。</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28625"/>
                      <wp:effectExtent l="0" t="0" r="9525" b="13335"/>
                      <wp:docPr id="64" name="图片 68"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68" descr="IMG_323"/>
                              <pic:cNvPicPr>
                                <a:picLocks noChangeAspect="1"/>
                              </pic:cNvPicPr>
                              <pic:nvPr/>
                            </pic:nvPicPr>
                            <pic:blipFill>
                              <a:blip r:embed="rId71"/>
                              <a:stretch/>
                            </pic:blipFill>
                            <pic:spPr bwMode="auto">
                              <a:xfrm>
                                <a:off x="0" y="0"/>
                                <a:ext cx="5238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1.2pt;height:33.8pt;mso-wrap-distance-left:0.0pt;mso-wrap-distance-top:0.0pt;mso-wrap-distance-right:0.0pt;mso-wrap-distance-bottom:0.0pt;" stroked="f" strokeweight="0.75pt">
                      <v:path textboxrect="0,0,0,0"/>
                      <v:imagedata r:id="rId71"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单张3人位休息凳</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1.休息凳需采用 “优质钢架 + 软包” 组合结构，钢架保证整体稳固性（适配多人同时坐立无晃动），软包提供久坐舒适性（海绵回弹性能优异，避免久坐疲劳），同时具备防潮、防污、易清洁特性，适配基地潮湿环境与高频使用需求。</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2.整体尺寸：长度 140-150cm（适配 3 人乘坐，人均宽度 47-50cm），宽度 45-50cm（坐深适配成人坐姿，避免过窄不适），高度 45-50cm（坐面高度适配成人小腿长度，起身无费力感）；钢架管材直径：主框架≥38mm，辅助支撑≥25mm，壁厚≥1.5mm（保证承重同时减少变形风险）</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材质：Q235 冷轧钢管（抗拉强度≥375MPa，屈服强度≥235MPa，延伸率≥25%，力学性能稳定）；表面处理：静电喷涂环氧树脂粉末（涂层厚度≥60μm，附着力等级 1 级，盐雾测试 96 小时无锈蚀、脱漆，耐刮擦测试≥500 次无露底）。</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3.框架结构：采用 “主框架 + 横向支撑 + 凳脚加固” 设计，主框架与横向支撑间距≤30cm（避免坐面塌陷），凳脚为 “倒 U 型” 一体成型（与地面接触面积≥15cm×5cm，分散重量）；承重性能：静态承重≥300kg（3 人平均体重 60kg，预留 120kg 安全余量），24 小时承重测试无框架弯曲（弯曲度≤2mm）、焊点开裂。</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4.边缘处理：所有钢架焊接处经打磨抛光（粗糙度 Ra≤0.8μm，无毛刺、焊渣），避免划伤衣物或皮肤；凳脚防护：底部安装橡胶防滑垫（厚度≥5mm，摩擦系数≥0.8，适配水泥、瓷砖等不同地面，防止滑动且避免刮伤地面）；连接件：焊点采用二氧化碳气体保护焊（焊脚高度≥3mm，焊接强度≥母体材料强度，无虚焊、漏焊）。</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5.防污耐磨牛津布（密度≥1200D，经向抗拉强度≥800N/5cm，纬向抗拉强度≥700N/5cm），表面覆防水涂层（防水等级 IPX4，泼溅水后无渗透，污渍可湿布擦拭干净）；颜色：深灰色或藏蓝色（耐脏易清洁，适配基地统一色调），色牢度≥4 级（日晒、水洗后无明显褪色</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高密度慢回弹海绵（密度≥35kg/m³，回弹率≥70%，压缩永久变形≤5%（70℃×22h 测试）），厚度≥8cm（保证坐感柔软同时支撑性充足，久坐（2 小时）无明显塌陷）；结构：采用 “海绵 + 无纺布包裹” 设计（无纺布重量≥50g/㎡，防止海绵碎屑外漏，增强耐用性）。</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6.与钢架连接：采用 “魔术贴 + 卡扣” 双重固定（魔术贴宽度≥5cm，粘合力≥5N/cm，卡扣间距≤20cm），软包可拆洗（拆卸时间≤5 分钟，便于定期清洁或更换）；边缘处理：软包面料边缘双线车缝（针距≤10 针 / 3cm，线迹平整无跳线，缝线断裂强度≥15N）。</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7.坐面弧度：贴合人体臀部曲线（坐面中间微凹，两侧微凸，支撑臀部压力均匀），久坐无压迫感；无异味：面料与海绵均符合 GB 18401-2010 B 类标准（甲醛含量≤75mg/kg，pH 值 4.0-8.5，无异味）。</w:t>
            </w:r>
            <w:r/>
          </w:p>
          <w:p>
            <w:pPr>
              <w:jc w:val="left"/>
              <w:keepLines w:val="0"/>
              <w:keepNext w:val="0"/>
              <w:widowControl/>
              <w:rPr>
                <w:rFonts w:hint="default"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8.防火性能：面料具备阻燃特性（符合 GB 50222 建筑内部装修设计防火规范，阻燃等级 B1 级）。</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85775"/>
                      <wp:effectExtent l="0" t="0" r="9525" b="1905"/>
                      <wp:docPr id="65" name="图片 69"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69" descr="IMG_324"/>
                              <pic:cNvPicPr>
                                <a:picLocks noChangeAspect="1"/>
                              </pic:cNvPicPr>
                              <pic:nvPr/>
                            </pic:nvPicPr>
                            <pic:blipFill>
                              <a:blip r:embed="rId72"/>
                              <a:stretch/>
                            </pic:blipFill>
                            <pic:spPr bwMode="auto">
                              <a:xfrm>
                                <a:off x="0" y="0"/>
                                <a:ext cx="523875"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1.2pt;height:38.2pt;mso-wrap-distance-left:0.0pt;mso-wrap-distance-top:0.0pt;mso-wrap-distance-right:0.0pt;mso-wrap-distance-bottom:0.0pt;" stroked="f" strokeweight="0.75pt">
                      <v:path textboxrect="0,0,0,0"/>
                      <v:imagedata r:id="rId72"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棋桌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8"/>
                <w:rFonts w:hAnsi="宋体"/>
                <w:b w:val="0"/>
                <w:bCs w:val="0"/>
                <w:sz w:val="18"/>
                <w:szCs w:val="18"/>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1.含四张凳子</w:t>
            </w:r>
            <w:r>
              <w:rPr>
                <w:rStyle w:val="868"/>
                <w:rFonts w:hint="eastAsia" w:hAnsi="宋体"/>
                <w:b w:val="0"/>
                <w:bCs w:val="0"/>
                <w:sz w:val="18"/>
                <w:szCs w:val="18"/>
                <w:lang w:val="en-US" w:eastAsia="zh-CN" w:bidi="ar"/>
              </w:rPr>
              <w:t xml:space="preserve">  </w:t>
            </w:r>
            <w:r>
              <w:rPr>
                <w:rStyle w:val="868"/>
                <w:rFonts w:hAnsi="宋体"/>
                <w:b w:val="0"/>
                <w:bCs w:val="0"/>
                <w:sz w:val="18"/>
                <w:szCs w:val="18"/>
                <w:lang w:val="en-US" w:eastAsia="zh-CN" w:bidi="ar"/>
              </w:rPr>
              <w:t xml:space="preserve">象棋桌需采用 “优质框架 + 耐磨棋盘面” 结构，框架保证稳固性（2 人对弈时无晃动），棋盘面具备防刮、防污、易清洁特性；配套凳子需与桌子风格统一，具备防潮、防滑、耐用特性，整体适配基地潮湿环境与集体休闲场景。</w:t>
            </w:r>
            <w:r/>
          </w:p>
          <w:p>
            <w:pPr>
              <w:numPr>
                <w:ilvl w:val="0"/>
                <w:numId w:val="0"/>
              </w:num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2.</w:t>
            </w:r>
            <w:r>
              <w:rPr>
                <w:rStyle w:val="868"/>
                <w:rFonts w:hAnsi="宋体"/>
                <w:b w:val="0"/>
                <w:bCs w:val="0"/>
                <w:sz w:val="18"/>
                <w:szCs w:val="18"/>
                <w:lang w:val="en-US" w:eastAsia="zh-CN" w:bidi="ar"/>
              </w:rPr>
              <w:t xml:space="preserve">整体尺寸：桌面边长 80-90cm（正方形，适配标准象棋棋盘尺寸：棋盘格数 9×10 路，每格边长 4.5-5cm），桌面厚度≥2.5cm，桌高 75-78cm（适配成人坐姿对弈，手臂放置舒适）；框架尺寸：桌腿间距≥70cm（保证对弈时腿部活动空间），腿径≥3.8cm（金属框架）/ 截面尺寸≥5×5cm（木质框架）。</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3.</w:t>
            </w:r>
            <w:r>
              <w:rPr>
                <w:rStyle w:val="868"/>
                <w:rFonts w:hAnsi="宋体"/>
                <w:b w:val="0"/>
                <w:bCs w:val="0"/>
                <w:sz w:val="18"/>
                <w:szCs w:val="18"/>
                <w:lang w:val="en-US" w:eastAsia="zh-CN" w:bidi="ar"/>
              </w:rPr>
              <w:t xml:space="preserve">桌面：- 选项 1（实木复合）：多层实木板（基材为杨木 / 松木，表面贴防火板（厚度≥0.8mm，耐磨转数≥400 转），防水等级 IPX4（泼溅水后无渗透变形））；- 选项 2（金属复合）：冷轧钢板（厚度≥1.2mm，表面静电喷涂（涂层厚度≥60μm）+ 丝印棋盘（分辨率≥300dpi，耐磨测试≥500 次无褪色））；框架：金属框架采用 Q235 冷轧钢管（壁厚≥1.5mm，盐雾测试 96 小时无锈蚀），木质框架采用实木（含水率 8%-12%，防蛀处理）。</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4.</w:t>
            </w:r>
            <w:r>
              <w:rPr>
                <w:rStyle w:val="868"/>
                <w:rFonts w:hAnsi="宋体"/>
                <w:b w:val="0"/>
                <w:bCs w:val="0"/>
                <w:sz w:val="18"/>
                <w:szCs w:val="18"/>
                <w:lang w:val="en-US" w:eastAsia="zh-CN" w:bidi="ar"/>
              </w:rPr>
              <w:t xml:space="preserve">棋盘设计：棋盘线条清晰（宽度 2-3mm，误差≤0.1mm），棋子放置点预留圆形凹槽（直径 3-3.5cm，深度 0.3-0.5cm，防止棋子滑动）；收纳功能：桌面下方设抽屉（尺寸≥30×20×5cm，材质与桌面匹配），用于存放象棋棋子（适配直径 3.8-4cm 标准象棋），抽屉带缓冲滑轨（抽拉顺畅无卡顿）；稳固性：桌腿底部设加强横撑（间距≤30cm），静态承重≥200kg（桌面均匀受力无弯曲，弯曲度≤2mm）</w:t>
            </w:r>
            <w:r/>
          </w:p>
          <w:p>
            <w:pPr>
              <w:jc w:val="left"/>
              <w:keepLines w:val="0"/>
              <w:keepNext w:val="0"/>
              <w:widowControl/>
              <w:rPr>
                <w:rStyle w:val="868"/>
                <w:rFonts w:hAnsi="宋体"/>
                <w:b w:val="0"/>
                <w:bCs w:val="0"/>
                <w:sz w:val="18"/>
                <w:szCs w:val="18"/>
                <w:lang w:val="en-US" w:eastAsia="zh-CN" w:bidi="ar"/>
              </w:rPr>
              <w:suppressLineNumbers w:val="0"/>
            </w:pPr>
            <w:r>
              <w:rPr>
                <w:rStyle w:val="868"/>
                <w:rFonts w:hAnsi="宋体"/>
                <w:b w:val="0"/>
                <w:bCs w:val="0"/>
                <w:sz w:val="18"/>
                <w:szCs w:val="18"/>
                <w:lang w:val="en-US" w:eastAsia="zh-CN" w:bidi="ar"/>
              </w:rPr>
              <w:t xml:space="preserve">凳面尺寸 40×40cm-45×45cm（适配成人臀部坐姿，受力均匀），凳面厚度≥2cm，凳高 42-45cm（与桌面高度差 33-36cm，符合人体工学）；重量：单张凳子≤5kg（便于移动），承重≥150kg（静态承重测试 24 小时无变形）。</w:t>
            </w:r>
            <w:r/>
          </w:p>
          <w:p>
            <w:pPr>
              <w:numPr>
                <w:ilvl w:val="0"/>
                <w:numId w:val="0"/>
              </w:num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5.</w:t>
            </w:r>
            <w:r>
              <w:rPr>
                <w:rStyle w:val="868"/>
                <w:rFonts w:hAnsi="宋体"/>
                <w:b w:val="0"/>
                <w:bCs w:val="0"/>
                <w:sz w:val="18"/>
                <w:szCs w:val="18"/>
                <w:lang w:val="en-US" w:eastAsia="zh-CN" w:bidi="ar"/>
              </w:rPr>
              <w:t xml:space="preserve">稳固性：凳腿设横撑（间距≤20cm），防止侧翻（侧翻测试角度≥30° 无倾倒）。</w:t>
            </w:r>
            <w:r/>
          </w:p>
          <w:p>
            <w:pPr>
              <w:numPr>
                <w:ilvl w:val="0"/>
                <w:numId w:val="0"/>
              </w:num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6.</w:t>
            </w:r>
            <w:r>
              <w:rPr>
                <w:rStyle w:val="868"/>
                <w:rFonts w:hAnsi="宋体"/>
                <w:b w:val="0"/>
                <w:bCs w:val="0"/>
                <w:sz w:val="18"/>
                <w:szCs w:val="18"/>
                <w:lang w:val="en-US" w:eastAsia="zh-CN" w:bidi="ar"/>
              </w:rPr>
              <w:t xml:space="preserve">防滑设计：凳腿底部安装橡胶防滑垫（厚度≥5mm，摩擦系数≥0.8，适配水泥、瓷砖地面）。</w:t>
            </w:r>
            <w:r/>
          </w:p>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hAnsi="宋体"/>
                <w:b w:val="0"/>
                <w:bCs w:val="0"/>
                <w:sz w:val="18"/>
                <w:szCs w:val="18"/>
                <w:lang w:val="en-US" w:eastAsia="zh-CN" w:bidi="ar"/>
              </w:rPr>
              <w:t xml:space="preserve">7.</w:t>
            </w:r>
            <w:r>
              <w:rPr>
                <w:rStyle w:val="868"/>
                <w:rFonts w:hAnsi="宋体"/>
                <w:b w:val="0"/>
                <w:bCs w:val="0"/>
                <w:sz w:val="18"/>
                <w:szCs w:val="18"/>
                <w:lang w:val="en-US" w:eastAsia="zh-CN" w:bidi="ar"/>
              </w:rPr>
              <w:t xml:space="preserve">便携性：凳面设隐藏式提手（若为金属 / 木质凳）或轻量化设计（便于移动至象棋桌旁）。</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66725"/>
                      <wp:effectExtent l="0" t="0" r="9525" b="5715"/>
                      <wp:docPr id="66" name="图片 70"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70" descr="IMG_325"/>
                              <pic:cNvPicPr>
                                <a:picLocks noChangeAspect="1"/>
                              </pic:cNvPicPr>
                              <pic:nvPr/>
                            </pic:nvPicPr>
                            <pic:blipFill>
                              <a:blip r:embed="rId73"/>
                              <a:stretch/>
                            </pic:blipFill>
                            <pic:spPr bwMode="auto">
                              <a:xfrm>
                                <a:off x="0" y="0"/>
                                <a:ext cx="523875"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1.2pt;height:36.8pt;mso-wrap-distance-left:0.0pt;mso-wrap-distance-top:0.0pt;mso-wrap-distance-right:0.0pt;mso-wrap-distance-bottom:0.0pt;" stroked="f" strokeweight="0.75pt">
                      <v:path textboxrect="0,0,0,0"/>
                      <v:imagedata r:id="rId73"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方桌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1.100*100cm含4张扶手椅子   木质方桌需采用优质实木或实木复合材质（保证防潮、防变形），桌面具备防刮、防污、易清洁特性；配套扶手椅子需与桌子风格统一，扶手设计符合人体工学（支撑手臂舒适），坐面与靠背具备一定透气性与舒适度，整体适配基地潮湿环境与高频使用需求。</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2.整体尺寸：桌面边长 100×100cm（误差≤±2mm，正方形设计，适配 4 人就坐，人均占用边长 50cm），桌面厚度≥3cm（保证承重与防变形），桌高 75-78cm（适配成人坐姿，手臂放置桌面舒适）；桌腿尺寸：截面尺寸≥6×6cm（实木腿）/≥5×5cm（实木复合腿），腿间距≥90×90cm（保证就坐时腿部活动空间）。</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3.桌面材质：- 选项 1（实木）：选用松木、橡木等硬木（气干密度≥0.5g/cm³，含水率 8%-12%，经防虫、防腐处理，无节疤、裂纹等瑕疵）；- 选项 2（实木复合）：多层实木板（基材为杨木 / 松木，表面贴实木木皮（厚度≥0.6mm，纹理清晰），覆环保清漆（厚度≥0.3mm，硬度≥2H，防刮擦））；桌腿材质：与桌面材质统一，底部设加强横撑（4 根，截面尺寸≥4×4cm，间距≤30cm，增强整体稳固性）。</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4.表面处理：桌面经打磨抛光（粗糙度 Ra≤0.4μm，触感光滑无毛刺），覆防污涂层（防水等级 IPX4，泼溅水后无渗透，沾染污渍可湿布擦拭干净）；连接件：采用不锈钢五金螺丝（直径≥8mm，防锈等级≥SUS304，与木材连接牢固，无松动风险）；防滑设计：桌腿底部安装橡胶防滑垫（厚度≥6mm，摩擦系数≥0.8，适配水泥、瓷砖地面，防止滑动且避免刮伤地面）。</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5.坐面尺寸 45×45cm-50×50cm（适配成人臀部坐姿，受力均匀），坐面厚度≥5cm（含填充层），椅高（从地面至靠背顶部）95-100cm，扶手高度（从地面至扶手顶部）65-70cm（适配桌面高度，手臂放置舒适），坐面高度 42-45cm（与桌面高度差 33-36cm，符合人体工学）；重量：单张椅子≤8kg（便于移动）。</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6.扶手设计：弧形扶手（贴合手臂曲线，长度≥40cm，宽度≥8cm，支撑面积充足），末端倒圆处理（无锐边）；靠背设计：弧形靠背（贴合人体脊柱曲线，高度≥50cm，宽度与坐面一致，提供腰部支撑）；稳固性：椅腿设横撑（2 根，截面尺寸≥3×4cm，间距≤25cm，防止侧翻），静态承重≥150kg（单张椅子，24 小时无椅架变形、扶手松动）；防滑设计：椅腿底部安装橡胶防滑垫（厚度≥5mm，摩擦系数≥0.8）。</w:t>
            </w:r>
            <w:r/>
          </w:p>
          <w:p>
            <w:pPr>
              <w:jc w:val="left"/>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7.安全设计：所有木质部件边缘倒圆处理（半径≥2mm），软包面料无异味（符合 GB 18401-2010 B 类标准，甲醛含量≤75mg/kg）；适配性：4 张椅子与方桌组合后，椅面与桌面边缘间距 15-20cm（就坐时手臂活动空间充足），椅子颜色与桌子统一（原木色 / 深棕色，适配基地色调），可围绕桌子整齐摆放（无间距偏差）。</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66725"/>
                      <wp:effectExtent l="0" t="0" r="9525" b="15875"/>
                      <wp:docPr id="67" name="图片 71"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71" descr="IMG_326"/>
                              <pic:cNvPicPr>
                                <a:picLocks noChangeAspect="1"/>
                              </pic:cNvPicPr>
                              <pic:nvPr/>
                            </pic:nvPicPr>
                            <pic:blipFill>
                              <a:blip r:embed="rId74"/>
                              <a:stretch/>
                            </pic:blipFill>
                            <pic:spPr bwMode="auto">
                              <a:xfrm>
                                <a:off x="0" y="0"/>
                                <a:ext cx="523875"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1.2pt;height:36.8pt;mso-wrap-distance-left:0.0pt;mso-wrap-distance-top:0.0pt;mso-wrap-distance-right:0.0pt;mso-wrap-distance-bottom:0.0pt;" stroked="f" strokeweight="0.75pt">
                      <v:path textboxrect="0,0,0,0"/>
                      <v:imagedata r:id="rId74"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Style w:val="868"/>
                <w:rFonts w:hAnsi="宋体"/>
                <w:b w:val="0"/>
                <w:bCs w:val="0"/>
                <w:sz w:val="18"/>
                <w:szCs w:val="18"/>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1.档案整理操作台150*150*75cm，304不锈钢材质：外观性能要求金属件喷涂层无漏喷、锈蚀和脱色、掉色现象，光滑均匀、色泽一致，无流挂、疙瘩、皱皮、飞漆等缺陷；产品表面涂饰层/覆面材料理化性能金属喷漆（塑）涂层硬度≥6H；乙酸盐雾试验(ASS)连续喷雾≥600h，镀(涂)层对基体的保护等级：无锈点，10级；镀(涂)层本身耐腐蚀等级：无锈点，10级；中性盐雾试验(NSS)连续喷雾≥600h，镀(涂)层本身耐腐蚀等级：无锈点，10级；镀(涂)层对基体的保护等级：无锈点，10级。</w:t>
            </w:r>
            <w:r>
              <w:rPr>
                <w:rStyle w:val="868"/>
                <w:rFonts w:hint="eastAsia" w:hAnsi="宋体"/>
                <w:b w:val="0"/>
                <w:bCs w:val="0"/>
                <w:sz w:val="18"/>
                <w:szCs w:val="18"/>
                <w:lang w:val="en-US" w:eastAsia="zh-CN" w:bidi="ar"/>
              </w:rPr>
              <w:t xml:space="preserve">2.</w:t>
            </w:r>
            <w:r>
              <w:rPr>
                <w:rStyle w:val="868"/>
                <w:rFonts w:hAnsi="宋体"/>
                <w:b w:val="0"/>
                <w:bCs w:val="0"/>
                <w:sz w:val="18"/>
                <w:szCs w:val="18"/>
                <w:lang w:val="en-US" w:eastAsia="zh-CN" w:bidi="ar"/>
              </w:rPr>
              <w:t xml:space="preserve">化学成分：铬（Cr）含量 18%-20%、镍（Ni）含量 8%-11%、碳（C）含量≤0.08%（符合 GB/T 3280 中 304 不锈钢标准。</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3.</w:t>
            </w:r>
            <w:r>
              <w:rPr>
                <w:rStyle w:val="868"/>
                <w:rFonts w:hAnsi="宋体"/>
                <w:b w:val="0"/>
                <w:bCs w:val="0"/>
                <w:sz w:val="18"/>
                <w:szCs w:val="18"/>
                <w:lang w:val="en-US" w:eastAsia="zh-CN" w:bidi="ar"/>
              </w:rPr>
              <w:t xml:space="preserve">力学性能：抗拉强度≥520MPa，屈服强度≥205MPa，延伸率≥40%（保证材质韧性与抗变形能力）；表面光洁度：表面采用拉丝处理（Ra≤0.8μm，触感细腻无毛刺，防指纹残留，易清洁）。</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4.</w:t>
            </w:r>
            <w:r>
              <w:rPr>
                <w:rStyle w:val="868"/>
                <w:rFonts w:hAnsi="宋体"/>
                <w:b w:val="0"/>
                <w:bCs w:val="0"/>
                <w:sz w:val="18"/>
                <w:szCs w:val="18"/>
                <w:lang w:val="en-US" w:eastAsia="zh-CN" w:bidi="ar"/>
              </w:rPr>
              <w:t xml:space="preserve">台面厚度≥1.5mm（304 不锈钢冷轧板，采用整板切割成型，无拼接缝（避免档案卡入缝隙或积水腐蚀））；台面尺寸：150×150cm（误差≤±2mm，正方形设计，适配多人协作），边缘倒圆处理（半径≥5mm，防磕碰划伤，同时防止档案边缘磨损）；台面荷载：均匀承重≥500kg（静态承重测试 24 小时，台面弯曲度≤3mm，无凹陷、变形）。</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5.</w:t>
            </w:r>
            <w:r>
              <w:rPr>
                <w:rStyle w:val="868"/>
                <w:rFonts w:hAnsi="宋体"/>
                <w:b w:val="0"/>
                <w:bCs w:val="0"/>
                <w:sz w:val="18"/>
                <w:szCs w:val="18"/>
                <w:lang w:val="en-US" w:eastAsia="zh-CN" w:bidi="ar"/>
              </w:rPr>
              <w:t xml:space="preserve">框架：采用 304 不锈钢方管（截面尺寸≥50×50mm，壁厚≥1.2mm，确保整体稳固）；支腿：4 根独立支腿（与主框架一体成型或满焊连接，截面尺寸同主框架，底部设加强承重板（304 不锈钢材质，尺寸≥100×100×5mm，增大地面接触面积，分散重量））；横撑：台面下方设 4 根横向支撑（304 不锈钢方管，截面尺寸≥40×40mm，壁厚≥1.0mm，间距≤40cm，增强台面抗下垂能力）。</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6.</w:t>
            </w:r>
            <w:r>
              <w:rPr>
                <w:rStyle w:val="868"/>
                <w:rFonts w:hAnsi="宋体"/>
                <w:b w:val="0"/>
                <w:bCs w:val="0"/>
                <w:sz w:val="18"/>
                <w:szCs w:val="18"/>
                <w:lang w:val="en-US" w:eastAsia="zh-CN" w:bidi="ar"/>
              </w:rPr>
              <w:t xml:space="preserve">连接件：采用 304 不锈钢螺栓（直径≥10mm，配合防松螺母，螺纹精度 6H 级，与不锈钢框架连接牢固，无电化学腐蚀风险）；焊接工艺：所有焊缝采用氩弧焊（焊接点平整光滑，焊脚高度≥5mm，无虚焊、漏焊、焊渣，焊缝经抛光处理（Ra≤1.6μm），防止锈蚀与划伤）；承重配件：台面下方可选配 304 不锈钢档案盒放置架（层高≥15cm，可调节，适配不同高度档案盒，承重≥100kg / 层）。</w:t>
            </w:r>
            <w:r/>
          </w:p>
          <w:p>
            <w:pPr>
              <w:jc w:val="left"/>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Style w:val="868"/>
                <w:rFonts w:hint="eastAsia" w:hAnsi="宋体"/>
                <w:b w:val="0"/>
                <w:bCs w:val="0"/>
                <w:sz w:val="18"/>
                <w:szCs w:val="18"/>
                <w:lang w:val="en-US" w:eastAsia="zh-CN" w:bidi="ar"/>
              </w:rPr>
              <w:t xml:space="preserve">7.</w:t>
            </w:r>
            <w:r>
              <w:rPr>
                <w:rStyle w:val="868"/>
                <w:rFonts w:hAnsi="宋体"/>
                <w:b w:val="0"/>
                <w:bCs w:val="0"/>
                <w:sz w:val="18"/>
                <w:szCs w:val="18"/>
                <w:lang w:val="en-US" w:eastAsia="zh-CN" w:bidi="ar"/>
              </w:rPr>
              <w:t xml:space="preserve">台面边缘设 5mm 高挡边（防止清洁用水或洒落液体流出台面，保护地面与档案）；清洁便利性：台面无凸起部件与缝隙（避免灰尘堆积，可用湿抹布或消毒剂直接擦拭，符合档案管理卫生要求）；防滑性能：台面拉丝纹理具备轻微防滑效果（档案盒、工具放置后不易滑动，倾斜 15° 无移位）。</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66725"/>
                      <wp:effectExtent l="0" t="0" r="9525" b="5715"/>
                      <wp:docPr id="68" name="图片 72"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72" descr="IMG_327"/>
                              <pic:cNvPicPr>
                                <a:picLocks noChangeAspect="1"/>
                              </pic:cNvPicPr>
                              <pic:nvPr/>
                            </pic:nvPicPr>
                            <pic:blipFill>
                              <a:blip r:embed="rId75"/>
                              <a:stretch/>
                            </pic:blipFill>
                            <pic:spPr bwMode="auto">
                              <a:xfrm>
                                <a:off x="0" y="0"/>
                                <a:ext cx="523875"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1.2pt;height:36.8pt;mso-wrap-distance-left:0.0pt;mso-wrap-distance-top:0.0pt;mso-wrap-distance-right:0.0pt;mso-wrap-distance-bottom:0.0pt;" stroked="f" strokeweight="0.75pt">
                      <v:path textboxrect="0,0,0,0"/>
                      <v:imagedata r:id="rId75"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接待沙发</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尺寸要求：三人位1870*80*83cm，误差范围控制在 ±1cm 以内。其中坐高 40 - 45cm，坐深 55 - 60cm，扶手高度距坐面 22 - 25cm，确保人体坐姿舒适且符合人体工程学。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承重标准：整体承重不低于 600kg，单个座位承重不低于 200kg，保证多人同时使用时的安全性与稳定性。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风格要求：适配商务接待场景，造型简约大气，线条流畅，可选择现代商务、新中式或轻奢风格。颜色以深灰、棕褐、藏蓝等沉稳色调为主，表面无明显色差、褶皱、划痕，彰显高端质感。</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工艺细节：皮革或布料拼接处缝线均匀细密，针脚长度一致，转角处过渡自然圆润，无尖锐棱角。金属装饰件（如有）表面光滑，无毛刺、锈迹，与整体风格协调统一。</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主体框架采用优质实木（如桦木、榉木）或高强度合金钢材。实木需经过干燥、防腐、防虫处理，含水率控制在 8% - 12%；合金钢材厚度不低于 1.8mm，材质强度符合 GB/T 700 - 2006 标准，确保结构坚固耐用。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框架结构采用榫卯连接或高强度五金件紧固，连接处紧密牢固，经摇晃测试无松动、异响，保障长期使用稳定性。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坐垫、靠背采用高密度海绵，密度不低于 38kg/m</w:t>
            </w:r>
            <w:r>
              <w:rPr>
                <w:rStyle w:val="863"/>
                <w:b w:val="0"/>
                <w:bCs w:val="0"/>
                <w:sz w:val="18"/>
                <w:szCs w:val="18"/>
                <w:lang w:val="en-US" w:eastAsia="zh-CN" w:bidi="ar"/>
              </w:rPr>
              <w:t xml:space="preserve">³</w:t>
            </w:r>
            <w:r>
              <w:rPr>
                <w:rStyle w:val="868"/>
                <w:b w:val="0"/>
                <w:bCs w:val="0"/>
                <w:sz w:val="18"/>
                <w:szCs w:val="18"/>
                <w:lang w:val="en-US" w:eastAsia="zh-CN" w:bidi="ar"/>
              </w:rPr>
              <w:t xml:space="preserve">，回弹性良好，经 5 万次按压测试后，凹陷程度不超过 1cm，确保三年内无明显塌陷变形。</w:t>
            </w:r>
            <w:r>
              <w:rPr>
                <w:rStyle w:val="868"/>
                <w:b w:val="0"/>
                <w:bCs w:val="0"/>
                <w:sz w:val="18"/>
                <w:szCs w:val="18"/>
                <w:lang w:val="en-US" w:eastAsia="zh-CN" w:bidi="ar"/>
              </w:rPr>
              <w:br/>
            </w:r>
            <w:r>
              <w:rPr>
                <w:rStyle w:val="868"/>
                <w:b w:val="0"/>
                <w:bCs w:val="0"/>
                <w:sz w:val="18"/>
                <w:szCs w:val="18"/>
                <w:lang w:val="en-US" w:eastAsia="zh-CN" w:bidi="ar"/>
              </w:rPr>
              <w:t xml:space="preserve">腰部、颈部等关键支撑部位添加记忆棉或羽绒填充，记忆棉密度不低于 45kg/m</w:t>
            </w:r>
            <w:r>
              <w:rPr>
                <w:rStyle w:val="863"/>
                <w:b w:val="0"/>
                <w:bCs w:val="0"/>
                <w:sz w:val="18"/>
                <w:szCs w:val="18"/>
                <w:lang w:val="en-US" w:eastAsia="zh-CN" w:bidi="ar"/>
              </w:rPr>
              <w:t xml:space="preserve">³</w:t>
            </w:r>
            <w:r>
              <w:rPr>
                <w:rStyle w:val="868"/>
                <w:b w:val="0"/>
                <w:bCs w:val="0"/>
                <w:sz w:val="18"/>
                <w:szCs w:val="18"/>
                <w:lang w:val="en-US" w:eastAsia="zh-CN" w:bidi="ar"/>
              </w:rPr>
              <w:t xml:space="preserve">，羽绒需经过高温消毒、除杂处理，蓬松度达标，无异味、杂质，提升整体舒适度。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皮革类：选用</w:t>
            </w:r>
            <w:r>
              <w:rPr>
                <w:rStyle w:val="868"/>
                <w:rFonts w:hint="eastAsia"/>
                <w:b w:val="0"/>
                <w:bCs w:val="0"/>
                <w:sz w:val="18"/>
                <w:szCs w:val="18"/>
                <w:lang w:val="en-US" w:eastAsia="zh-CN" w:bidi="ar"/>
              </w:rPr>
              <w:t xml:space="preserve">优质西皮</w:t>
            </w:r>
            <w:r>
              <w:rPr>
                <w:rStyle w:val="868"/>
                <w:b w:val="0"/>
                <w:bCs w:val="0"/>
                <w:sz w:val="18"/>
                <w:szCs w:val="18"/>
                <w:lang w:val="en-US" w:eastAsia="zh-CN" w:bidi="ar"/>
              </w:rPr>
              <w:t xml:space="preserve">，厚度 1.2 - 1.5mm，表面纹理自然，具有良好的耐磨性、透气性和抗污性，经专业防污涂层处理，日常污渍可用湿布擦拭干净，耐磨测试达 5 万转以上。</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布料类：采用高档麻织物、棉麻混纺或精纺羊毛面料，克重不低于 350g/m</w:t>
            </w:r>
            <w:r>
              <w:rPr>
                <w:rStyle w:val="863"/>
                <w:b w:val="0"/>
                <w:bCs w:val="0"/>
                <w:sz w:val="18"/>
                <w:szCs w:val="18"/>
                <w:lang w:val="en-US" w:eastAsia="zh-CN" w:bidi="ar"/>
              </w:rPr>
              <w:t xml:space="preserve">²</w:t>
            </w:r>
            <w:r>
              <w:rPr>
                <w:rStyle w:val="868"/>
                <w:b w:val="0"/>
                <w:bCs w:val="0"/>
                <w:sz w:val="18"/>
                <w:szCs w:val="18"/>
                <w:lang w:val="en-US" w:eastAsia="zh-CN" w:bidi="ar"/>
              </w:rPr>
              <w:t xml:space="preserve">，面料纹理清晰，色泽持久，通过色牢度 4 级以上测试，具备防污、防静电、阻燃（符合 GB 8624 - 2012 B1 级标准）性能。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所有材料需符合国家环保标准，甲醛释放量符合 GB 18587 - 2017 要求。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沙发边角进行倒圆角处理，圆弧半径不小于 2cm，避免磕碰受伤；金属部件表面进行防锈、防刮处理，无尖锐边缘，保障使用安全。</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57200"/>
                      <wp:effectExtent l="0" t="0" r="9525" b="0"/>
                      <wp:docPr id="69" name="图片 73"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73" descr="IMG_328"/>
                              <pic:cNvPicPr>
                                <a:picLocks noChangeAspect="1"/>
                              </pic:cNvPicPr>
                              <pic:nvPr/>
                            </pic:nvPicPr>
                            <pic:blipFill>
                              <a:blip r:embed="rId76"/>
                              <a:stretch/>
                            </pic:blipFill>
                            <pic:spPr bwMode="auto">
                              <a:xfrm>
                                <a:off x="0" y="0"/>
                                <a:ext cx="523875"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1.2pt;height:36.0pt;mso-wrap-distance-left:0.0pt;mso-wrap-distance-top:0.0pt;mso-wrap-distance-right:0.0pt;mso-wrap-distance-bottom:0.0pt;" stroked="f" strokeweight="0.75pt">
                      <v:path textboxrect="0,0,0,0"/>
                      <v:imagedata r:id="rId76"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医疗柜</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1.铁质柜体，180*120*50cm   医疗柜需采用 304 不锈钢主体材质（确保防潮、防锈、易清洁，符合医疗卫生标准），结构</w:t>
            </w:r>
            <w:r>
              <w:rPr>
                <w:rFonts w:hint="eastAsia" w:ascii="黑体" w:hAnsi="宋体" w:eastAsia="黑体" w:cs="黑体"/>
                <w:b w:val="0"/>
                <w:bCs w:val="0"/>
                <w:i w:val="0"/>
                <w:iCs w:val="0"/>
                <w:color w:val="000000"/>
                <w:sz w:val="18"/>
                <w:szCs w:val="18"/>
                <w:highlight w:val="none"/>
                <w:u w:val="none"/>
                <w:lang w:val="en-US" w:eastAsia="zh-CN" w:bidi="ar"/>
              </w:rPr>
              <w:t xml:space="preserve">设计需区分 “药品区”“器械区”“急救物资区”，具备分层收纳、密封防尘、避光（部分区域）功能，满足不同类型医疗物资存储要求，同时适配基地训练间隙应急取固定款（医务室用）：- 单门柜：高 180cm× 宽 60cm× 深 45cm（适配墙边固定，可存储 150-200 盒标准药品）；- 双门柜：高 180cm× 宽 120cm× 深 45cm（分区存储，含药品区、器械区、急救区）；移动款（应急医疗点用）：高 120cm× 宽 80cm× 深 40cm（配万向轮，便于训练场地搬运，存储 50-80 件急救用品）</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药、器械消毒后的存放需求。</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2.固定款：柜体背部设加强筋（304 不锈钢条，厚度≥1.0mm，间距≤30cm），底部配防滑垫（橡胶材质，摩擦系数≥0.8，防止移位）；移动款：底部装 4 个 304 不锈钢万向轮（直径≥10cm，2 个带刹车锁定，单轮承重≥80kg，推动噪音≤50dB）；整体承重：固定款≥300kg，移动款≥200kg（静态均匀受力 24 小时无变形）。</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3.药品存储区（上部）：3 层可调层板（层高 5-30cm 可调节，每 5cm 一档，适配不同高度药瓶 / 药盒），每层设药品分类标签槽（ABS 材质，尺寸 8cm×3cm，可插入 “口服药”“外用药”“冷藏备用” 等标识卡）；层板边缘设 5mm 高挡边（防止药品滑落），承重≥50kg / 层</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器械存储区（中部）：2 个抽拉式抽屉（尺寸 40cm×35cm×15cm，配 304 不锈钢缓冲滑轨，抽拉阻力≤30N，无卡顿），抽屉内分 8-10 个独立小格（可拆分隔板，尺寸 5cm×5cm-15cm×15cm），适配注射器、镊子、止血钳等小件器械；抽屉面板设隐藏式拉手（防磕碰）。</w:t>
            </w:r>
            <w:r/>
          </w:p>
          <w:p>
            <w:pPr>
              <w:jc w:val="left"/>
              <w:keepLines w:val="0"/>
              <w:keepNext w:val="0"/>
              <w:widowControl/>
              <w:rPr>
                <w:rFonts w:hint="default" w:ascii="黑体" w:hAnsi="宋体" w:eastAsia="黑体" w:cs="黑体"/>
                <w:b w:val="0"/>
                <w:bCs w:val="0"/>
                <w:i w:val="0"/>
                <w:iCs w:val="0"/>
                <w:color w:val="000000"/>
                <w:sz w:val="18"/>
                <w:szCs w:val="18"/>
                <w:highlight w:val="none"/>
                <w:u w:val="none"/>
                <w:lang w:val="en-US"/>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4.急救用品区（下部）：1 个大空间存储格（高 60cm× 宽 110cm× 深 45cm），内置 2 条可调节尼龙束带（宽度 5cm，抗拉强度≥500N），可固定急救包、折叠担架、氧气瓶（小容量）等大件物品；侧面设挂钩（304 不锈钢材质，承重≥5kg / 个），挂放止血带、听诊器。表面可耐受 75% 医用酒精、500mg/L 含氯消毒剂（如 84 消毒液）反复擦拭（测试 500 次无腐蚀、变色、涂层脱落）；无卫生死角（柜门缝隙≤1mm，柜体角落圆角处理，清洁时无灰尘堆积。</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495300"/>
                      <wp:effectExtent l="0" t="0" r="9525" b="7620"/>
                      <wp:docPr id="70" name="图片 74"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74" descr="IMG_329"/>
                              <pic:cNvPicPr>
                                <a:picLocks noChangeAspect="1"/>
                              </pic:cNvPicPr>
                              <pic:nvPr/>
                            </pic:nvPicPr>
                            <pic:blipFill>
                              <a:blip r:embed="rId77"/>
                              <a:stretch/>
                            </pic:blipFill>
                            <pic:spPr bwMode="auto">
                              <a:xfrm>
                                <a:off x="0" y="0"/>
                                <a:ext cx="52387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1.2pt;height:39.0pt;mso-wrap-distance-left:0.0pt;mso-wrap-distance-top:0.0pt;mso-wrap-distance-right:0.0pt;mso-wrap-distance-bottom:0.0pt;" stroked="f" strokeweight="0.75pt">
                      <v:path textboxrect="0,0,0,0"/>
                      <v:imagedata r:id="rId7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1.一列四  适配基地阅览室、宿舍公共区、训练间隙学习区使用，“一列四柜” 组合设计需满足多品类图书分类存储（如军事理论、技能培训、文化读物等），单柜可容纳标准 32 开图书≥150 册，整体组合后预留合理通道（≥80cm），便于取书与整理。</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2.选项 1（实木复合）：- 柜体板材：多层实木板（基材为杨木 / 松木，含水率 8%-12%，经防虫、防腐处理），表面贴三聚氰胺浸渍纸（厚度≥0.2mm，耐磨转数≥400 转，耐污等级≥4 级，防图书油墨沾染）；- 封边：2mm 厚 PVC 封边条（与板材同色，热压贴合，粘结强度≥1.5N/mm，无翘边、脱落）；选项 2（金属框架 + 木质层板）：- 框架：304 不锈钢方管（截面 30×30mm，壁厚≥1.0mm，盐雾测试 48 小时无锈蚀）；- 层板：实木复合板材（参数同选项 1），增强耐用性与防潮性</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3.一列四柜组合尺寸：总长度 180-200cm（单柜宽度 45-50cm，四柜紧密拼接，缝隙≤2mm），总高度 200-220cm（适配常用图书高度，顶部可放置装饰性绿植或工具书），单柜深度 30-35cm（适配 32 开 / 16 开图书，避免图书倾倒）；单柜结构：无门开放式（便于快速取书）或玻璃对开门式（防尘，玻璃为 5mm 厚钢化玻璃，透光率≥90%，防冲击），可按需选择。</w:t>
            </w:r>
            <w:r/>
          </w:p>
          <w:p>
            <w:pPr>
              <w:jc w:val="left"/>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4.单柜可独立标识：柜体侧面或层板边缘设标签槽（ABS 材质，尺寸 10cm×4cm，可插入 “军事技能”“文化教育”“心理健康” 等分类标识卡，便于图书管理）；空间适配：单柜宽度 45-50cm 可容纳 32 开图书横向排列≥15 册 / 层，16 开图书≥10 册 / 层，整体四柜可存储图书≥3000 册（按平均每层 150 册计算）。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38150"/>
                      <wp:effectExtent l="0" t="0" r="9525" b="3810"/>
                      <wp:docPr id="71" name="图片 75"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75" descr="IMG_330"/>
                              <pic:cNvPicPr>
                                <a:picLocks noChangeAspect="1"/>
                              </pic:cNvPicPr>
                              <pic:nvPr/>
                            </pic:nvPicPr>
                            <pic:blipFill>
                              <a:blip r:embed="rId78"/>
                              <a:stretch/>
                            </pic:blipFill>
                            <pic:spPr bwMode="auto">
                              <a:xfrm>
                                <a:off x="0" y="0"/>
                                <a:ext cx="5238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1.2pt;height:34.5pt;mso-wrap-distance-left:0.0pt;mso-wrap-distance-top:0.0pt;mso-wrap-distance-right:0.0pt;mso-wrap-distance-bottom:0.0pt;" stroked="f" strokeweight="0.75pt">
                      <v:path textboxrect="0,0,0,0"/>
                      <v:imagedata r:id="rId78"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阅览桌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1.</w:t>
            </w:r>
            <w:r>
              <w:rPr>
                <w:rStyle w:val="868"/>
                <w:rFonts w:hAnsi="宋体"/>
                <w:b w:val="0"/>
                <w:bCs w:val="0"/>
                <w:sz w:val="18"/>
                <w:szCs w:val="18"/>
                <w:lang w:val="en-US" w:eastAsia="zh-CN" w:bidi="ar"/>
              </w:rPr>
              <w:t xml:space="preserve">适配基地阅览室多人阅读场景，210×100cm 桌面需支持 8 人同时就坐（人均占用桌面空间≥26cm×50cm，预留书籍、笔记本摆放区域），搭配 8 张椅子后整体占地面积需适配阅览室通道规划（桌椅组合后周边预留≥80cm 通行空间），满足军事资料查阅、集体学习等需求。</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2.</w:t>
            </w:r>
            <w:r>
              <w:rPr>
                <w:rStyle w:val="868"/>
                <w:rFonts w:hAnsi="宋体"/>
                <w:b w:val="0"/>
                <w:bCs w:val="0"/>
                <w:sz w:val="18"/>
                <w:szCs w:val="18"/>
                <w:lang w:val="en-US" w:eastAsia="zh-CN" w:bidi="ar"/>
              </w:rPr>
              <w:t xml:space="preserve">（实木复合桌面 + 金属框架）：- 桌面：多层实木板（基材杨木 / 松木，含水率 8%-12%，经防虫防腐处理），表面贴三聚氰胺浸渍纸（厚度≥0.2mm，耐磨转数≥600 转，耐污等级≥4 级，防墨水、茶水渗透）；- 框架：304 不锈钢方管（主框架截面 50×50mm，壁厚≥1.2mm；支腿截面 40×40mm，壁厚≥1.0mm，盐雾测试 72 小时无锈蚀）。</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3.</w:t>
            </w:r>
            <w:r>
              <w:rPr>
                <w:rStyle w:val="868"/>
                <w:rFonts w:hAnsi="宋体"/>
                <w:b w:val="0"/>
                <w:bCs w:val="0"/>
                <w:sz w:val="18"/>
                <w:szCs w:val="18"/>
                <w:lang w:val="en-US" w:eastAsia="zh-CN" w:bidi="ar"/>
              </w:rPr>
              <w:t xml:space="preserve">桌面承重：均匀承重≥400kg（静态加载 24 小时，桌面弯曲度≤2mm/200cm，无凹陷、开裂），单点承重≥50kg（如放置厚重军事典籍无局部变形）；防倾倒设计：底部设 304 不锈钢调节脚（高度可调节 0-5cm，适配地面不平场景，调节后锁定牢固），桌腿底部装橡胶防滑垫（厚度≥6mm，摩擦系数≥0.8，防止桌面滑动）；结构细节：桌面与框架连接采用 304 不锈钢螺栓（直径≥8mm，配合防松螺母，无电化学腐蚀风险），螺栓头部隐藏处理（避免刮擦书籍）</w:t>
            </w:r>
            <w:r/>
          </w:p>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hAnsi="宋体"/>
                <w:b w:val="0"/>
                <w:bCs w:val="0"/>
                <w:sz w:val="18"/>
                <w:szCs w:val="18"/>
                <w:lang w:val="en-US" w:eastAsia="zh-CN" w:bidi="ar"/>
              </w:rPr>
              <w:t xml:space="preserve">4.</w:t>
            </w:r>
            <w:r>
              <w:rPr>
                <w:rStyle w:val="868"/>
                <w:rFonts w:hAnsi="宋体"/>
                <w:b w:val="0"/>
                <w:bCs w:val="0"/>
                <w:sz w:val="18"/>
                <w:szCs w:val="18"/>
                <w:lang w:val="en-US" w:eastAsia="zh-CN" w:bidi="ar"/>
              </w:rPr>
              <w:t xml:space="preserve">靠背曲线：贴合人体脊柱自然弧度（腰部支撑高度 15-20cm，支撑力度适中，久坐 2 小时无腰部酸痛）；扶手（可选）：若配扶手，扶手高度 75cm（与桌面平齐，材质同椅架，表面覆硅胶防滑套，宽度≥5cm，支撑手臂舒适）；坐面倾斜：坐面轻微后倾 3°-5°（减少臀部压力，避免久坐疲劳），边缘倒圆处理（半径≥3mm，防压迫腿部血管）。</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19100"/>
                      <wp:effectExtent l="0" t="0" r="9525" b="7620"/>
                      <wp:docPr id="72" name="图片 76"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76" descr="IMG_331"/>
                              <pic:cNvPicPr>
                                <a:picLocks noChangeAspect="1"/>
                              </pic:cNvPicPr>
                              <pic:nvPr/>
                            </pic:nvPicPr>
                            <pic:blipFill>
                              <a:blip r:embed="rId79"/>
                              <a:stretch/>
                            </pic:blipFill>
                            <pic:spPr bwMode="auto">
                              <a:xfrm>
                                <a:off x="0" y="0"/>
                                <a:ext cx="523875"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1.2pt;height:33.0pt;mso-wrap-distance-left:0.0pt;mso-wrap-distance-top:0.0pt;mso-wrap-distance-right:0.0pt;mso-wrap-distance-bottom:0.0pt;" stroked="f" strokeweight="0.75pt">
                      <v:path textboxrect="0,0,0,0"/>
                      <v:imagedata r:id="rId79"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报刊架</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1.</w:t>
            </w:r>
            <w:r>
              <w:rPr>
                <w:rStyle w:val="868"/>
                <w:rFonts w:hAnsi="宋体"/>
                <w:b w:val="0"/>
                <w:bCs w:val="0"/>
                <w:sz w:val="18"/>
                <w:szCs w:val="18"/>
                <w:lang w:val="en-US" w:eastAsia="zh-CN" w:bidi="ar"/>
              </w:rPr>
              <w:t xml:space="preserve">适配基地阅览室、宿舍公共区等场景，127×61×35cm 尺寸需满足主流报刊（如对开报纸、A3 杂志</w:t>
            </w:r>
            <w:r>
              <w:rPr>
                <w:rStyle w:val="868"/>
                <w:rFonts w:hAnsi="宋体"/>
                <w:b w:val="0"/>
                <w:bCs w:val="0"/>
                <w:sz w:val="18"/>
                <w:szCs w:val="18"/>
                <w:lang w:val="en-US" w:eastAsia="zh-CN" w:bidi="ar"/>
              </w:rPr>
              <w:t xml:space="preserve">）收纳需求，单架可容纳对开报纸≥30 份（分栏存放）或 A3 杂志≥50 册，支持多人同时取阅（取阅通道预留≥30cm），符合基地集体阅读的高频使用特性。单隔层承重≥5kg（可容纳对开报纸 30 份或 A3 杂志 20 册，静态加载 24 小时无隔层弯曲（弯曲度≤1mm/50cm）、框架变形）；整体承重≥20kg（满负荷存储时，框架无倾斜、焊点无开裂）；防倾倒设计：底部设 4 个防滑支撑脚（304 不锈钢材质，底部粘贴 5mm 厚橡胶防滑垫（摩擦系数≥0.8），单脚承重≥8kg，倾斜 30° 无倾倒风险）。</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2.</w:t>
            </w:r>
            <w:r>
              <w:rPr>
                <w:rStyle w:val="868"/>
                <w:rFonts w:hAnsi="宋体"/>
                <w:b w:val="0"/>
                <w:bCs w:val="0"/>
                <w:sz w:val="18"/>
                <w:szCs w:val="18"/>
                <w:lang w:val="en-US" w:eastAsia="zh-CN" w:bidi="ar"/>
              </w:rPr>
              <w:t xml:space="preserve">标识卡插槽：每栏侧挡条设 ABS 材质标识卡插槽（尺寸 8cm×3cm，可插入 “军事报刊”“人民日报”“技能培训杂志” 等分类标识，便于快速查找）；移动性（可选）：如需移动，可在底部支撑脚处加装 304 不锈钢万向轮（直径≥5cm，2 个带刹车锁定，单轮承重≥10kg，推动噪音≤50dB，适配训练场地临时报刊陈列）。</w:t>
            </w:r>
            <w:r/>
          </w:p>
          <w:p>
            <w:pPr>
              <w:jc w:val="left"/>
              <w:keepLines w:val="0"/>
              <w:keepNext w:val="0"/>
              <w:widowControl/>
              <w:rPr>
                <w:rStyle w:val="868"/>
                <w:rFonts w:hint="eastAsia"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3.</w:t>
            </w:r>
            <w:r>
              <w:rPr>
                <w:rStyle w:val="868"/>
                <w:rFonts w:hAnsi="宋体"/>
                <w:b w:val="0"/>
                <w:bCs w:val="0"/>
                <w:sz w:val="18"/>
                <w:szCs w:val="18"/>
                <w:lang w:val="en-US" w:eastAsia="zh-CN" w:bidi="ar"/>
              </w:rPr>
              <w:t xml:space="preserve">- 框架：304 不锈钢圆管（直径≥16mm，壁厚≥1.2mm，符合 GB/T 3280 标准，盐雾测试 72 小时无锈蚀、无变色）；- 隔层 / 托板：304 不锈钢钢板（厚度≥0.8mm，表面拉丝处理（Ra≤0.8μm），防指纹残留，边缘倒圆处理）。</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57200"/>
                      <wp:effectExtent l="0" t="0" r="9525" b="0"/>
                      <wp:docPr id="73" name="图片 77"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77" descr="IMG_332"/>
                              <pic:cNvPicPr>
                                <a:picLocks noChangeAspect="1"/>
                              </pic:cNvPicPr>
                              <pic:nvPr/>
                            </pic:nvPicPr>
                            <pic:blipFill>
                              <a:blip r:embed="rId80"/>
                              <a:stretch/>
                            </pic:blipFill>
                            <pic:spPr bwMode="auto">
                              <a:xfrm>
                                <a:off x="0" y="0"/>
                                <a:ext cx="523875"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41.2pt;height:36.0pt;mso-wrap-distance-left:0.0pt;mso-wrap-distance-top:0.0pt;mso-wrap-distance-right:0.0pt;mso-wrap-distance-bottom:0.0pt;" stroked="f" strokeweight="0.75pt">
                      <v:path textboxrect="0,0,0,0"/>
                      <v:imagedata r:id="rId80"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green"/>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象棋</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numPr>
                <w:ilvl w:val="0"/>
                <w:numId w:val="0"/>
              </w:num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1.</w:t>
            </w:r>
            <w:r>
              <w:rPr>
                <w:rStyle w:val="868"/>
                <w:rFonts w:hAnsi="宋体"/>
                <w:b w:val="0"/>
                <w:bCs w:val="0"/>
                <w:sz w:val="18"/>
                <w:szCs w:val="18"/>
                <w:lang w:val="en-US" w:eastAsia="zh-CN" w:bidi="ar"/>
              </w:rPr>
              <w:t xml:space="preserve">实木材质：- 材质：硬木（如橡木、榉木，气干密度≥0.6g/cm³，含水率 8%-12%，经防虫、防腐处理），表面覆清漆（厚度≥0.3mm，耐磨等级≥2H）直径 3.8-4.2cm（误差≤±0.1mm，适配棋盘每格 4.5-5cm 边长，放入后预留 0.3-0.5cm 间隙，避免卡顿），厚度 1.5-2cm（误差≤±0.1mm，堆叠时稳定）；重量：/25-35g（实木材质），同类型棋子重量偏差≤2g（保证对弈时手感一致）。</w:t>
            </w:r>
            <w:r/>
          </w:p>
          <w:p>
            <w:pPr>
              <w:numPr>
                <w:ilvl w:val="0"/>
                <w:numId w:val="0"/>
              </w:num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2.</w:t>
            </w:r>
            <w:r>
              <w:rPr>
                <w:rStyle w:val="868"/>
                <w:rFonts w:hAnsi="宋体"/>
                <w:b w:val="0"/>
                <w:bCs w:val="0"/>
                <w:sz w:val="18"/>
                <w:szCs w:val="18"/>
                <w:lang w:val="en-US" w:eastAsia="zh-CN" w:bidi="ar"/>
              </w:rPr>
              <w:t xml:space="preserve">数量：每副 32 枚（红方 16 枚：帅 1、仕 2、相 2、车 2、马 2、炮 2、兵 5；黑方 16 枚：将 1、士 2、象 2、车 2、马 2、炮 2、卒 5），无缺失、错印。</w:t>
            </w:r>
            <w:r/>
          </w:p>
          <w:p>
            <w:pPr>
              <w:jc w:val="left"/>
              <w:keepLines w:val="0"/>
              <w:keepNext w:val="0"/>
              <w:widowControl/>
              <w:rPr>
                <w:rFonts w:hint="eastAsia" w:ascii="黑体" w:hAnsi="宋体" w:eastAsia="黑体" w:cs="黑体"/>
                <w:b w:val="0"/>
                <w:bCs w:val="0"/>
                <w:i w:val="0"/>
                <w:iCs w:val="0"/>
                <w:color w:val="000000"/>
                <w:sz w:val="18"/>
                <w:szCs w:val="18"/>
                <w:highlight w:val="green"/>
                <w:u w:val="none"/>
              </w:rPr>
              <w:suppressLineNumbers w:val="0"/>
            </w:pPr>
            <w:r>
              <w:rPr>
                <w:rStyle w:val="868"/>
                <w:rFonts w:hint="eastAsia" w:hAnsi="宋体"/>
                <w:b w:val="0"/>
                <w:bCs w:val="0"/>
                <w:sz w:val="18"/>
                <w:szCs w:val="18"/>
                <w:lang w:val="en-US" w:eastAsia="zh-CN" w:bidi="ar"/>
              </w:rPr>
              <w:t xml:space="preserve">3.</w:t>
            </w:r>
            <w:r>
              <w:rPr>
                <w:rStyle w:val="868"/>
                <w:rFonts w:hAnsi="宋体"/>
                <w:b w:val="0"/>
                <w:bCs w:val="0"/>
                <w:sz w:val="18"/>
                <w:szCs w:val="18"/>
                <w:lang w:val="en-US" w:eastAsia="zh-CN" w:bidi="ar"/>
              </w:rPr>
              <w:t xml:space="preserve">盒内凹槽旁标注 “红方”“黑方” 及棋子名称（如 “红帅”“黑将”），便于快速归位；便携设计：盒身侧面设手提带（尼龙材质，宽度 1.5cm，抗拉强度≥50N），重量≤300g（空盒）；耐用性：耐冲击测试（1.2 米高度跌落至水泥地面，无开裂、卡扣损坏）。</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76250"/>
                      <wp:effectExtent l="0" t="0" r="9525" b="11430"/>
                      <wp:docPr id="74" name="图片 78"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78" descr="IMG_333"/>
                              <pic:cNvPicPr>
                                <a:picLocks noChangeAspect="1"/>
                              </pic:cNvPicPr>
                              <pic:nvPr/>
                            </pic:nvPicPr>
                            <pic:blipFill>
                              <a:blip r:embed="rId81"/>
                              <a:stretch/>
                            </pic:blipFill>
                            <pic:spPr bwMode="auto">
                              <a:xfrm>
                                <a:off x="0" y="0"/>
                                <a:ext cx="523875"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41.2pt;height:37.5pt;mso-wrap-distance-left:0.0pt;mso-wrap-distance-top:0.0pt;mso-wrap-distance-right:0.0pt;mso-wrap-distance-bottom:0.0pt;" stroked="f" strokeweight="0.75pt">
                      <v:path textboxrect="0,0,0,0"/>
                      <v:imagedata r:id="rId81"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单人商务接待沙发</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西皮，白色1+1+1，表面处理：沙发表面无褶皱、划痕、色差等瑕疵，皮革或布料拼接处缝线均匀细密，针脚平整，转角处过渡自然，无明显棱角。</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框架材质</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主体框架采用优质实木（如桦木、榉木）或高强度合金钢材，实木材质需经过干燥、防腐、防虫处理，含水率控制在 8%-12%；合金钢材厚度不低于 1.5mm，材质强度达到相关国家标准，确保框架坚固稳定，承重能力不低于 200kg。</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框架结构采用榫卯连接或高强度五金件连接，连接处紧密牢固，无松动、异响。</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填充材料</w:t>
            </w:r>
            <w:r>
              <w:rPr>
                <w:rStyle w:val="869"/>
                <w:rFonts w:hint="eastAsia" w:eastAsia="黑体"/>
                <w:b w:val="0"/>
                <w:bCs w:val="0"/>
                <w:sz w:val="18"/>
                <w:szCs w:val="18"/>
                <w:lang w:val="en-US" w:eastAsia="zh-CN" w:bidi="ar"/>
              </w:rPr>
              <w:t xml:space="preserve">：</w:t>
            </w:r>
            <w:r>
              <w:rPr>
                <w:rStyle w:val="868"/>
                <w:b w:val="0"/>
                <w:bCs w:val="0"/>
                <w:sz w:val="18"/>
                <w:szCs w:val="18"/>
                <w:lang w:val="en-US" w:eastAsia="zh-CN" w:bidi="ar"/>
              </w:rPr>
              <w:t xml:space="preserve">靠背、坐垫采用高密度海绵，密度不低于 35kg/m</w:t>
            </w:r>
            <w:r>
              <w:rPr>
                <w:rStyle w:val="863"/>
                <w:b w:val="0"/>
                <w:bCs w:val="0"/>
                <w:sz w:val="18"/>
                <w:szCs w:val="18"/>
                <w:lang w:val="en-US" w:eastAsia="zh-CN" w:bidi="ar"/>
              </w:rPr>
              <w:t xml:space="preserve">³</w:t>
            </w:r>
            <w:r>
              <w:rPr>
                <w:rStyle w:val="868"/>
                <w:b w:val="0"/>
                <w:bCs w:val="0"/>
                <w:sz w:val="18"/>
                <w:szCs w:val="18"/>
                <w:lang w:val="en-US" w:eastAsia="zh-CN" w:bidi="ar"/>
              </w:rPr>
              <w:t xml:space="preserve">，回弹性能良好，在正常使用情况下，三年内不出现明显塌陷变形。腰部、颈部等部位可添加记忆棉或羽绒等辅助填充材料，提升舒适度，记忆棉密度不低于 40kg/m</w:t>
            </w:r>
            <w:r>
              <w:rPr>
                <w:rStyle w:val="863"/>
                <w:b w:val="0"/>
                <w:bCs w:val="0"/>
                <w:sz w:val="18"/>
                <w:szCs w:val="18"/>
                <w:lang w:val="en-US" w:eastAsia="zh-CN" w:bidi="ar"/>
              </w:rPr>
              <w:t xml:space="preserve">³</w:t>
            </w:r>
            <w:r>
              <w:rPr>
                <w:rStyle w:val="868"/>
                <w:b w:val="0"/>
                <w:bCs w:val="0"/>
                <w:sz w:val="18"/>
                <w:szCs w:val="18"/>
                <w:lang w:val="en-US" w:eastAsia="zh-CN" w:bidi="ar"/>
              </w:rPr>
              <w:t xml:space="preserve">，羽绒填充需经过严格的清洗、消毒处理，无异味、无杂质。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皮革类：选用优质</w:t>
            </w:r>
            <w:r>
              <w:rPr>
                <w:rStyle w:val="868"/>
                <w:rFonts w:hint="eastAsia"/>
                <w:b w:val="0"/>
                <w:bCs w:val="0"/>
                <w:sz w:val="18"/>
                <w:szCs w:val="18"/>
                <w:lang w:val="en-US" w:eastAsia="zh-CN" w:bidi="ar"/>
              </w:rPr>
              <w:t xml:space="preserve">西</w:t>
            </w:r>
            <w:r>
              <w:rPr>
                <w:rStyle w:val="868"/>
                <w:b w:val="0"/>
                <w:bCs w:val="0"/>
                <w:sz w:val="18"/>
                <w:szCs w:val="18"/>
                <w:lang w:val="en-US" w:eastAsia="zh-CN" w:bidi="ar"/>
              </w:rPr>
              <w:t xml:space="preserve">皮，厚度在 1.2 - 1.5mm 之间，表面纹理自然，手感柔软细腻，具有良好的耐磨性、透气性和抗污性，经过专业防污处理，日常污渍可用湿布轻松擦拭干净。</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布料类：采用高档麻织物、棉麻混纺或精纺羊毛等面料，克重不低于 300g/m</w:t>
            </w:r>
            <w:r>
              <w:rPr>
                <w:rStyle w:val="863"/>
                <w:b w:val="0"/>
                <w:bCs w:val="0"/>
                <w:sz w:val="18"/>
                <w:szCs w:val="18"/>
                <w:lang w:val="en-US" w:eastAsia="zh-CN" w:bidi="ar"/>
              </w:rPr>
              <w:t xml:space="preserve">²</w:t>
            </w:r>
            <w:r>
              <w:rPr>
                <w:rStyle w:val="868"/>
                <w:b w:val="0"/>
                <w:bCs w:val="0"/>
                <w:sz w:val="18"/>
                <w:szCs w:val="18"/>
                <w:lang w:val="en-US" w:eastAsia="zh-CN" w:bidi="ar"/>
              </w:rPr>
              <w:t xml:space="preserve">，面料纹理清晰，色泽持久，不易褪色、起球，具备一定的防污、防静电性能，可提供阻燃面料选项，满足消防要求。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沙发整体尺寸：长度在 80 - 100cm，深度在 70 - 90cm，高度在 75 - 85cm，坐高在 40 - 45cm，坐深在 50 - 60cm，符合人体工程学设计，确保使用者坐姿舒适。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扶手高度：距离坐面 20 - 25cm，宽度 8 - 12cm，扶手表面平整光滑，弧度贴合手臂自然放置姿势。</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所有材料需符合国家环保标准，如甲醛释放量符合 GB 18587 - 2017《室内装饰装修材料 地毯、地毯衬垫及地毯胶粘剂有害物质释放限量》要求。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沙发边角进行圆润处理，避免尖锐棱角，防止磕碰受伤；金属部件无毛刺、锐边，表面进行防锈、防刮处理。</w:t>
            </w:r>
            <w:r>
              <w:rPr>
                <w:rStyle w:val="869"/>
                <w:rFonts w:eastAsia="黑体"/>
                <w:b w:val="0"/>
                <w:bCs w:val="0"/>
                <w:sz w:val="18"/>
                <w:szCs w:val="1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66725"/>
                      <wp:effectExtent l="0" t="0" r="9525" b="5715"/>
                      <wp:docPr id="75" name="图片 79"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79" descr="IMG_334"/>
                              <pic:cNvPicPr>
                                <a:picLocks noChangeAspect="1"/>
                              </pic:cNvPicPr>
                              <pic:nvPr/>
                            </pic:nvPicPr>
                            <pic:blipFill>
                              <a:blip r:embed="rId82"/>
                              <a:stretch/>
                            </pic:blipFill>
                            <pic:spPr bwMode="auto">
                              <a:xfrm>
                                <a:off x="0" y="0"/>
                                <a:ext cx="523875"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1.2pt;height:36.8pt;mso-wrap-distance-left:0.0pt;mso-wrap-distance-top:0.0pt;mso-wrap-distance-right:0.0pt;mso-wrap-distance-bottom:0.0pt;" stroked="f" strokeweight="0.75pt">
                      <v:path textboxrect="0,0,0,0"/>
                      <v:imagedata r:id="rId82"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restart"/>
            <w:textDirection w:val="lrTb"/>
            <w:noWrap w:val="false"/>
          </w:tcPr>
          <w:p>
            <w:pPr>
              <w:jc w:val="both"/>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席梦思床垫</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120*200cm  采用独立袋装弹簧或连续弹簧系统。独立袋装弹簧需每个弹簧独立包裹在无纺布中，相互独立运作，减少弹簧间摩擦和噪音，有效避免睡眠时的相互干扰，弹簧线径在 1.8 - 2.3mm 之间，弹簧圈数不少于 6 圈，保证良好的支撑性和回弹性，单个弹簧承重不低于 80kg。</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连续弹簧系统需采用高强度碳素钢丝，弹簧结构紧密，具有良好的整体支撑性，钢丝直径不低于 2.0mm，经过防锈处理，使用寿命长。</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垫层海绵：使用高密度海绵作为基础垫层，密度不低于 35kg/m</w:t>
            </w:r>
            <w:r>
              <w:rPr>
                <w:rStyle w:val="863"/>
                <w:b w:val="0"/>
                <w:bCs w:val="0"/>
                <w:sz w:val="18"/>
                <w:szCs w:val="18"/>
                <w:lang w:val="en-US" w:eastAsia="zh-CN" w:bidi="ar"/>
              </w:rPr>
              <w:t xml:space="preserve">³</w:t>
            </w:r>
            <w:r>
              <w:rPr>
                <w:rStyle w:val="868"/>
                <w:b w:val="0"/>
                <w:bCs w:val="0"/>
                <w:sz w:val="18"/>
                <w:szCs w:val="18"/>
                <w:lang w:val="en-US" w:eastAsia="zh-CN" w:bidi="ar"/>
              </w:rPr>
              <w:t xml:space="preserve">，具有良好的缓冲性能和回弹性，在正常使用情况下，三年内不出现明显塌陷变形。</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记忆棉：部分高端款式可添加记忆棉层，记忆棉密度不低于 40kg/m</w:t>
            </w:r>
            <w:r>
              <w:rPr>
                <w:rStyle w:val="863"/>
                <w:b w:val="0"/>
                <w:bCs w:val="0"/>
                <w:sz w:val="18"/>
                <w:szCs w:val="18"/>
                <w:lang w:val="en-US" w:eastAsia="zh-CN" w:bidi="ar"/>
              </w:rPr>
              <w:t xml:space="preserve">³</w:t>
            </w:r>
            <w:r>
              <w:rPr>
                <w:rStyle w:val="868"/>
                <w:b w:val="0"/>
                <w:bCs w:val="0"/>
                <w:sz w:val="18"/>
                <w:szCs w:val="18"/>
                <w:lang w:val="en-US" w:eastAsia="zh-CN" w:bidi="ar"/>
              </w:rPr>
              <w:t xml:space="preserve">，能根据人体曲线自动贴合，缓解身体压力，减少翻身次数，提升睡眠舒适度。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天然材料：可选用乳胶、羊毛、椰棕等天然材料作为填充，乳胶含量不低于 85%，需具备良好的透气性和抗菌防螨性能；羊毛需经过清洗、消毒处理，柔软保暖；椰棕需经过高温压缩和环保胶水粘合，无甲醛释放，硬度适中，提供良好的腰部支撑。</w:t>
            </w:r>
            <w:r>
              <w:rPr>
                <w:rStyle w:val="868"/>
                <w:b w:val="0"/>
                <w:bCs w:val="0"/>
                <w:sz w:val="18"/>
                <w:szCs w:val="18"/>
                <w:lang w:val="en-US" w:eastAsia="zh-CN" w:bidi="ar"/>
              </w:rPr>
              <w:br/>
            </w:r>
            <w:r>
              <w:rPr>
                <w:rStyle w:val="868"/>
                <w:b w:val="0"/>
                <w:bCs w:val="0"/>
                <w:sz w:val="18"/>
                <w:szCs w:val="18"/>
                <w:lang w:val="en-US" w:eastAsia="zh-CN" w:bidi="ar"/>
              </w:rPr>
              <w:t xml:space="preserve">床垫面料采用优质针织面料、提花面料或棉质面料，克重不低于 280g/m</w:t>
            </w:r>
            <w:r>
              <w:rPr>
                <w:rStyle w:val="863"/>
                <w:b w:val="0"/>
                <w:bCs w:val="0"/>
                <w:sz w:val="18"/>
                <w:szCs w:val="18"/>
                <w:lang w:val="en-US" w:eastAsia="zh-CN" w:bidi="ar"/>
              </w:rPr>
              <w:t xml:space="preserve">²</w:t>
            </w:r>
            <w:r>
              <w:rPr>
                <w:rStyle w:val="868"/>
                <w:b w:val="0"/>
                <w:bCs w:val="0"/>
                <w:sz w:val="18"/>
                <w:szCs w:val="18"/>
                <w:lang w:val="en-US" w:eastAsia="zh-CN" w:bidi="ar"/>
              </w:rPr>
              <w:t xml:space="preserve">，面料表面柔软亲肤，透气性好，具有良好的吸湿排汗功能。</w:t>
            </w:r>
            <w:r>
              <w:rPr>
                <w:rStyle w:val="868"/>
                <w:b w:val="0"/>
                <w:bCs w:val="0"/>
                <w:sz w:val="18"/>
                <w:szCs w:val="18"/>
                <w:lang w:val="en-US" w:eastAsia="zh-CN" w:bidi="ar"/>
              </w:rPr>
              <w:br/>
            </w:r>
            <w:r>
              <w:rPr>
                <w:rStyle w:val="868"/>
                <w:b w:val="0"/>
                <w:bCs w:val="0"/>
                <w:sz w:val="18"/>
                <w:szCs w:val="18"/>
                <w:lang w:val="en-US" w:eastAsia="zh-CN" w:bidi="ar"/>
              </w:rPr>
              <w:t xml:space="preserve">面料需经过抗菌、防螨、抗静电处理，符合国家相关标准，如抗菌率达到 99% 以上，能有效抑制细菌和螨虫滋生，保障睡眠健康；具备阻燃性能，符合 GB 8624 - 2012《建筑材料及制品燃烧性能分级》B1 级标准。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支撑性：床垫在均匀承重下，表面凹陷程度不超过 20mm，能有效支撑人体脊柱，使其保持自然生理曲线，避免腰部悬空或过度下陷，减少睡眠时的疲劳感。</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回弹性：在施加标准压力（如 100kg）后，床垫能迅速恢复原状，无明显永久变形，回弹性良好，确保长期使用的舒适性。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透气性：床垫整体透气性能良好，能有效排出睡眠过程中产生的热气和湿气，保持睡眠环境干爽，降低闷热感。</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40</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33400"/>
                      <wp:effectExtent l="0" t="0" r="9525" b="0"/>
                      <wp:docPr id="76" name="图片 80"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80" descr="IMG_335"/>
                              <pic:cNvPicPr>
                                <a:picLocks noChangeAspect="1"/>
                              </pic:cNvPicPr>
                              <pic:nvPr/>
                            </pic:nvPicPr>
                            <pic:blipFill>
                              <a:blip r:embed="rId83"/>
                              <a:stretch/>
                            </pic:blipFill>
                            <pic:spPr bwMode="auto">
                              <a:xfrm>
                                <a:off x="0" y="0"/>
                                <a:ext cx="5238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1.2pt;height:42.0pt;mso-wrap-distance-left:0.0pt;mso-wrap-distance-top:0.0pt;mso-wrap-distance-right:0.0pt;mso-wrap-distance-bottom:0.0pt;" stroked="f" strokeweight="0.75pt">
                      <v:path textboxrect="0,0,0,0"/>
                      <v:imagedata r:id="rId83"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jc w:val="center"/>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180*200cm 采用独立袋装弹簧或连续弹簧系统。独立袋装弹簧需每个弹簧独立包裹在无纺布中，相互独立运作，减少弹簧间摩擦和噪音，有效避免睡眠时的相互干扰，弹簧线径在 1.8 - 2.3mm 之间，弹簧圈数不少于 6 圈，保证良好的支撑性和回弹性，单个弹簧承重不低于 80kg。</w:t>
            </w:r>
            <w:r>
              <w:rPr>
                <w:rStyle w:val="868"/>
                <w:b w:val="0"/>
                <w:bCs w:val="0"/>
                <w:sz w:val="18"/>
                <w:szCs w:val="18"/>
                <w:lang w:val="en-US" w:eastAsia="zh-CN" w:bidi="ar"/>
              </w:rPr>
              <w:br/>
            </w:r>
            <w:r>
              <w:rPr>
                <w:rStyle w:val="868"/>
                <w:b w:val="0"/>
                <w:bCs w:val="0"/>
                <w:sz w:val="18"/>
                <w:szCs w:val="18"/>
                <w:lang w:val="en-US" w:eastAsia="zh-CN" w:bidi="ar"/>
              </w:rPr>
              <w:t xml:space="preserve">连续弹簧系统需采用高强度碳素钢丝，弹簧结构紧密，具有良好的整体支撑性，钢丝直径不低于 2.0mm，经过防锈处理，使用寿命长。</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垫层海绵：使用高密度海绵作为基础垫层，密度不低于 35kg/m</w:t>
            </w:r>
            <w:r>
              <w:rPr>
                <w:rStyle w:val="863"/>
                <w:b w:val="0"/>
                <w:bCs w:val="0"/>
                <w:sz w:val="18"/>
                <w:szCs w:val="18"/>
                <w:lang w:val="en-US" w:eastAsia="zh-CN" w:bidi="ar"/>
              </w:rPr>
              <w:t xml:space="preserve">³</w:t>
            </w:r>
            <w:r>
              <w:rPr>
                <w:rStyle w:val="868"/>
                <w:b w:val="0"/>
                <w:bCs w:val="0"/>
                <w:sz w:val="18"/>
                <w:szCs w:val="18"/>
                <w:lang w:val="en-US" w:eastAsia="zh-CN" w:bidi="ar"/>
              </w:rPr>
              <w:t xml:space="preserve">，具有良好的缓冲性能和回弹性，在正常使用情况下，三年内不出现明显塌陷变形。</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记忆棉：部分高端款式可添加记忆棉层，记忆棉密度不低于 40kg/m</w:t>
            </w:r>
            <w:r>
              <w:rPr>
                <w:rStyle w:val="863"/>
                <w:b w:val="0"/>
                <w:bCs w:val="0"/>
                <w:sz w:val="18"/>
                <w:szCs w:val="18"/>
                <w:lang w:val="en-US" w:eastAsia="zh-CN" w:bidi="ar"/>
              </w:rPr>
              <w:t xml:space="preserve">³</w:t>
            </w:r>
            <w:r>
              <w:rPr>
                <w:rStyle w:val="868"/>
                <w:b w:val="0"/>
                <w:bCs w:val="0"/>
                <w:sz w:val="18"/>
                <w:szCs w:val="18"/>
                <w:lang w:val="en-US" w:eastAsia="zh-CN" w:bidi="ar"/>
              </w:rPr>
              <w:t xml:space="preserve">，能根据人体曲线自动贴合，缓解身体压力，减少翻身次数，提升睡眠舒适度。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天然材料：可选用乳胶、羊毛、椰棕等天然材料作为填充，乳胶含量不低于 85%，需具备良好的透气性和抗菌防螨性能；羊毛需经过清洗、消毒处理，柔软保暖；椰棕需经过高温压缩和环保胶水粘合，无甲醛释放，硬度适中，提供良好的腰部支撑。</w:t>
            </w:r>
            <w:r>
              <w:rPr>
                <w:rStyle w:val="868"/>
                <w:b w:val="0"/>
                <w:bCs w:val="0"/>
                <w:sz w:val="18"/>
                <w:szCs w:val="18"/>
                <w:lang w:val="en-US" w:eastAsia="zh-CN" w:bidi="ar"/>
              </w:rPr>
              <w:br/>
            </w:r>
            <w:r>
              <w:rPr>
                <w:rStyle w:val="868"/>
                <w:b w:val="0"/>
                <w:bCs w:val="0"/>
                <w:sz w:val="18"/>
                <w:szCs w:val="18"/>
                <w:lang w:val="en-US" w:eastAsia="zh-CN" w:bidi="ar"/>
              </w:rPr>
              <w:t xml:space="preserve">床垫面料采用优质针织面料、提花面料或棉质面料，克重不低于 280g/m</w:t>
            </w:r>
            <w:r>
              <w:rPr>
                <w:rStyle w:val="863"/>
                <w:b w:val="0"/>
                <w:bCs w:val="0"/>
                <w:sz w:val="18"/>
                <w:szCs w:val="18"/>
                <w:lang w:val="en-US" w:eastAsia="zh-CN" w:bidi="ar"/>
              </w:rPr>
              <w:t xml:space="preserve">²</w:t>
            </w:r>
            <w:r>
              <w:rPr>
                <w:rStyle w:val="868"/>
                <w:b w:val="0"/>
                <w:bCs w:val="0"/>
                <w:sz w:val="18"/>
                <w:szCs w:val="18"/>
                <w:lang w:val="en-US" w:eastAsia="zh-CN" w:bidi="ar"/>
              </w:rPr>
              <w:t xml:space="preserve">，面料表面柔软亲肤，透气性好，具有良好的吸湿排汗功能。</w:t>
            </w:r>
            <w:r>
              <w:rPr>
                <w:rStyle w:val="868"/>
                <w:b w:val="0"/>
                <w:bCs w:val="0"/>
                <w:sz w:val="18"/>
                <w:szCs w:val="18"/>
                <w:lang w:val="en-US" w:eastAsia="zh-CN" w:bidi="ar"/>
              </w:rPr>
              <w:br/>
            </w:r>
            <w:r>
              <w:rPr>
                <w:rStyle w:val="868"/>
                <w:b w:val="0"/>
                <w:bCs w:val="0"/>
                <w:sz w:val="18"/>
                <w:szCs w:val="18"/>
                <w:lang w:val="en-US" w:eastAsia="zh-CN" w:bidi="ar"/>
              </w:rPr>
              <w:t xml:space="preserve">面料需经过抗菌、防螨、抗静电处理，符合国家相关标准，如抗菌率达到 99% 以上，能有效抑制细菌和螨虫滋生，保障睡眠健康；具备阻燃性能，符合 GB 8624 - 2012《建筑材料及制品燃烧性能分级》B1 级标准。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支撑性：床垫在均匀承重下，表面凹陷程度不超过 20mm，能有效支撑人体脊柱，使其保持自然生理曲线，避免腰部悬空或过度下陷，减少睡眠时的疲劳感。</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回弹性：在施加标准压力（如 100kg）后，床垫能迅速恢复原状，无明显永久变形，回弹性良好，确保长期使用的舒适性。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透气性：床垫整体透气性能良好，能有效排出睡眠过程中产生的热气和湿气，保持睡眠环境干爽，降低闷热感。</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33400"/>
                      <wp:effectExtent l="0" t="0" r="9525" b="0"/>
                      <wp:docPr id="77" name="图片 81"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81" descr="IMG_336"/>
                              <pic:cNvPicPr>
                                <a:picLocks noChangeAspect="1"/>
                              </pic:cNvPicPr>
                              <pic:nvPr/>
                            </pic:nvPicPr>
                            <pic:blipFill>
                              <a:blip r:embed="rId83"/>
                              <a:stretch/>
                            </pic:blipFill>
                            <pic:spPr bwMode="auto">
                              <a:xfrm>
                                <a:off x="0" y="0"/>
                                <a:ext cx="5238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41.2pt;height:42.0pt;mso-wrap-distance-left:0.0pt;mso-wrap-distance-top:0.0pt;mso-wrap-distance-right:0.0pt;mso-wrap-distance-bottom:0.0pt;" stroked="f" strokeweight="0.75pt">
                      <v:path textboxrect="0,0,0,0"/>
                      <v:imagedata r:id="rId83"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床上用品</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Style w:val="868"/>
                <w:rFonts w:hAnsi="宋体"/>
                <w:b w:val="0"/>
                <w:bCs w:val="0"/>
                <w:sz w:val="18"/>
                <w:szCs w:val="18"/>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1.四件套 全棉含被子、枕头，</w:t>
            </w:r>
            <w:r>
              <w:rPr>
                <w:rStyle w:val="868"/>
                <w:rFonts w:hAnsi="宋体"/>
                <w:b w:val="0"/>
                <w:bCs w:val="0"/>
                <w:sz w:val="18"/>
                <w:szCs w:val="18"/>
                <w:lang w:val="en-US" w:eastAsia="zh-CN" w:bidi="ar"/>
              </w:rPr>
              <w:t xml:space="preserve">适配基地单人宿舍床（常规尺寸 190×90cm/200×90cm），四件套规格与床体匹配，全棉材质具备良好透气性与吸湿性（适配潮湿环境，减少闷热感），被子填充物保暖性适配当地气候（冬季保暖、夏季透气），整体支持机洗（高频清洗后不变形、不褪色），符合集体住宿的卫生与管理需求。</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2.</w:t>
            </w:r>
            <w:r>
              <w:rPr>
                <w:rStyle w:val="868"/>
                <w:rFonts w:hAnsi="宋体"/>
                <w:b w:val="0"/>
                <w:bCs w:val="0"/>
                <w:sz w:val="18"/>
                <w:szCs w:val="18"/>
                <w:lang w:val="en-US" w:eastAsia="zh-CN" w:bidi="ar"/>
              </w:rPr>
              <w:t xml:space="preserve">全棉面料性能</w:t>
            </w:r>
            <w:r>
              <w:rPr>
                <w:rStyle w:val="868"/>
                <w:rFonts w:hint="eastAsia" w:hAnsi="宋体"/>
                <w:b w:val="0"/>
                <w:bCs w:val="0"/>
                <w:sz w:val="18"/>
                <w:szCs w:val="18"/>
                <w:lang w:val="en-US" w:eastAsia="zh-CN" w:bidi="ar"/>
              </w:rPr>
              <w:t xml:space="preserve">：1</w:t>
            </w:r>
            <w:r>
              <w:rPr>
                <w:rStyle w:val="868"/>
                <w:rFonts w:hAnsi="宋体"/>
                <w:b w:val="0"/>
                <w:bCs w:val="0"/>
                <w:sz w:val="18"/>
                <w:szCs w:val="18"/>
                <w:lang w:val="en-US" w:eastAsia="zh-CN" w:bidi="ar"/>
              </w:rPr>
              <w:t xml:space="preserve">00% 纯棉（非混纺，棉纤维含量≥95%），纱支密度≥40 支 ×40 支（经纬密度≥133×72 根 / 英寸，保证面料细腻度与耐用性）；表面处理：精梳棉工艺（去除短纤维，减少起球，起球等级≥4 级（GB/T 4802.1 测试）），预缩水处理（水洗后缩水率：经向≤3%，纬向≤2%，避免尺寸变小无法使用）；色牢度：耐水洗色牢度≥4 级、耐摩擦色牢度（干 / 湿）≥4 级、耐日晒色牢度≥4 级（GB/T 3920-2008 测试，避免清洗或晾晒后褪色染色）。</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3.</w:t>
            </w:r>
            <w:r>
              <w:rPr>
                <w:rStyle w:val="868"/>
                <w:rFonts w:hAnsi="宋体"/>
                <w:b w:val="0"/>
                <w:bCs w:val="0"/>
                <w:sz w:val="18"/>
                <w:szCs w:val="18"/>
                <w:lang w:val="en-US" w:eastAsia="zh-CN" w:bidi="ar"/>
              </w:rPr>
              <w:t xml:space="preserve">四件套规格尺寸</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适配 190×90cm 单人床（常规款）：- 床单：230×110cm（误差≤±2cm，四周下垂≥20cm，覆盖床体无裸露）；- 被套：200×150cm（误差≤±2cm，适配 190×140cm 被子，预留 10cm 空间便于被子整理）；- 枕套：50×75cm（误差≤±1cm，适配 45×70cm 枕头，开口处设魔术贴或拉链（隐藏式，防止划伤皮肤））；适配 200×90cm 单人床（加长款）：规格对应增加 10cm（床单 240×110cm，被套 210×150cm，枕套尺寸不变），误差标准一致。</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4.</w:t>
            </w:r>
            <w:r>
              <w:rPr>
                <w:rStyle w:val="868"/>
                <w:rFonts w:hAnsi="宋体"/>
                <w:b w:val="0"/>
                <w:bCs w:val="0"/>
                <w:sz w:val="18"/>
                <w:szCs w:val="18"/>
                <w:lang w:val="en-US" w:eastAsia="zh-CN" w:bidi="ar"/>
              </w:rPr>
              <w:t xml:space="preserve">工艺与耐用性</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缝合工艺：双线车缝（针距 10-12 针 / 3cm，线迹平整无跳线、漏缝），被套与枕套边缘包边处理（包边宽度≥3cm，增强耐用性，防止洗后脱线）；细节设计：被套内侧四角设绑带（纯棉材质，长度≥15cm，用于固定被子填充物，防止被子在被套内滑动），床单四角可选配防滑贴（硅胶材质，防止睡眠时床单移位）；耐用性：水洗测试（模拟机洗 20 次后，面料无破损、起球等级仍≥3 级，缝合处无开裂）。</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5.</w:t>
            </w:r>
            <w:r>
              <w:rPr>
                <w:rStyle w:val="868"/>
                <w:rFonts w:hAnsi="宋体"/>
                <w:b w:val="0"/>
                <w:bCs w:val="0"/>
                <w:sz w:val="18"/>
                <w:szCs w:val="18"/>
                <w:lang w:val="en-US" w:eastAsia="zh-CN" w:bidi="ar"/>
              </w:rPr>
              <w:t xml:space="preserve">被子规格与填充物</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适配被套尺寸（190×140cm/200×140cm，误差≤±2cm），重量：冬季款 1.8-2.2kg（填充物重量</w:t>
            </w:r>
            <w:r>
              <w:rPr>
                <w:rStyle w:val="868"/>
                <w:rFonts w:hAnsi="宋体"/>
                <w:b w:val="0"/>
                <w:bCs w:val="0"/>
                <w:sz w:val="18"/>
                <w:szCs w:val="18"/>
                <w:lang w:val="en-US" w:eastAsia="zh-CN" w:bidi="ar"/>
              </w:rPr>
              <w:t xml:space="preserve"> 1.2-1.5kg），夏季款 0.8-1.0kg（填充物重量 0.5-0.7kg），春秋款 1.2-1.5kg（填充物重量 0.8-1.0kg）；填充物选项（二选一）：- 选项 1（纯棉填充）：100% 纯棉絮片（符合 QB/T 2984-2021，棉纤维含量≥95%，无杂质、无异味，蓬松度≥6cm（GB/T 14833 测试），防板结）；- 选项 2（羽绒填充）：白鸭绒（符合 GB/T 17694-2021，含绒量≥80%，绒子含量≥70%，蓬松度≥18cm，无异味，经过高温消毒（≥120℃），防跑绒）</w:t>
            </w:r>
            <w:r/>
          </w:p>
          <w:p>
            <w:pPr>
              <w:jc w:val="left"/>
              <w:keepLines w:val="0"/>
              <w:keepNext w:val="0"/>
              <w:widowControl/>
              <w:rPr>
                <w:rStyle w:val="868"/>
                <w:rFonts w:hAnsi="宋体"/>
                <w:b w:val="0"/>
                <w:bCs w:val="0"/>
                <w:sz w:val="18"/>
                <w:szCs w:val="18"/>
                <w:lang w:val="en-US" w:eastAsia="zh-CN" w:bidi="ar"/>
              </w:rPr>
              <w:suppressLineNumbers w:val="0"/>
            </w:pPr>
            <w:r>
              <w:rPr>
                <w:rStyle w:val="868"/>
                <w:rFonts w:hAnsi="宋体"/>
                <w:b w:val="0"/>
                <w:bCs w:val="0"/>
                <w:sz w:val="18"/>
                <w:szCs w:val="18"/>
                <w:lang w:val="en-US" w:eastAsia="zh-CN" w:bidi="ar"/>
              </w:rPr>
              <w:t xml:space="preserve">被壳与工艺</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与四件套同材质全棉面料（40 支精梳棉，密度 133×72，保证透气性与一致性）；防跑绒工艺：羽绒被采用防钻绒面料（经向密度≥280 根 / 英寸）+ 立体锁绒格（格子尺寸≤20×20cm，每格独立填充，防止绒朵移动），棉被采用双层棉壳缝合（避免棉絮外漏）；耐用性：被子整体水洗后（按洗涤说明），填充物无板结、无移位，被壳无破损，羽绒被无跑绒现象（每平方米跑绒数≤5 根）。</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6.</w:t>
            </w:r>
            <w:r>
              <w:rPr>
                <w:rStyle w:val="868"/>
                <w:rFonts w:hAnsi="宋体"/>
                <w:b w:val="0"/>
                <w:bCs w:val="0"/>
                <w:sz w:val="18"/>
                <w:szCs w:val="18"/>
                <w:lang w:val="en-US" w:eastAsia="zh-CN" w:bidi="ar"/>
              </w:rPr>
              <w:t xml:space="preserve">枕头规格与填充物</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45×70cm（误差≤±1cm，适配枕套</w:t>
            </w:r>
            <w:r>
              <w:rPr>
                <w:rStyle w:val="868"/>
                <w:rFonts w:hAnsi="宋体"/>
                <w:b w:val="0"/>
                <w:bCs w:val="0"/>
                <w:sz w:val="18"/>
                <w:szCs w:val="18"/>
                <w:lang w:val="en-US" w:eastAsia="zh-CN" w:bidi="ar"/>
              </w:rPr>
              <w:t xml:space="preserve">尺寸），单个重量 0.6-0.8kg（填充物重量 0.4-0.6kg）；填充物选项（二选一）：- 选项 1（纯棉填充）：100% 纯棉纤维（经过梳理，无结块，回弹性≥60%（压缩后 30 秒恢复），透气性良好）；- 选项 2（记忆棉填充）：慢回弹记忆棉（密度≥40kg/m³，回弹性≥70%，无异味，符合 GB/T 26706-2011，支撑性适中，缓解颈部压力）；卫生指标：填充物经过抗菌处理（抗菌率≥90%，针对大肠杆菌、金黄色葡萄球菌，符合 GB/T 20944.3 测试），无螨虫（螨虫趋避率≥90%）。</w:t>
            </w:r>
            <w:r/>
          </w:p>
          <w:p>
            <w:pPr>
              <w:jc w:val="left"/>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Style w:val="868"/>
                <w:rFonts w:hint="eastAsia" w:hAnsi="宋体"/>
                <w:b w:val="0"/>
                <w:bCs w:val="0"/>
                <w:sz w:val="18"/>
                <w:szCs w:val="18"/>
                <w:lang w:val="en-US" w:eastAsia="zh-CN" w:bidi="ar"/>
              </w:rPr>
              <w:t xml:space="preserve">7.</w:t>
            </w:r>
            <w:r>
              <w:rPr>
                <w:rStyle w:val="868"/>
                <w:rFonts w:hAnsi="宋体"/>
                <w:b w:val="0"/>
                <w:bCs w:val="0"/>
                <w:sz w:val="18"/>
                <w:szCs w:val="18"/>
                <w:lang w:val="en-US" w:eastAsia="zh-CN" w:bidi="ar"/>
              </w:rPr>
              <w:t xml:space="preserve">枕套与工艺</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枕芯套材质：全棉针织布（与四件套面料匹配，弹性良好，透气性≥100mm/s（GB/T 5453 测试））；工艺：枕芯套边缘双线缝合，开口处设隐形拉链（拉链头隐藏，防止划伤），枕头整体缝合牢固（无跳线，洗后无开线）；耐用性：水洗后（机洗 15 次），填充物无变形、无板结，枕芯套无破损，记忆棉枕头回弹性无明显下降（仍≥65%）。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60</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76250"/>
                      <wp:effectExtent l="0" t="0" r="9525" b="11430"/>
                      <wp:docPr id="78" name="图片 82"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82" descr="IMG_337"/>
                              <pic:cNvPicPr>
                                <a:picLocks noChangeAspect="1"/>
                              </pic:cNvPicPr>
                              <pic:nvPr/>
                            </pic:nvPicPr>
                            <pic:blipFill>
                              <a:blip r:embed="rId84"/>
                              <a:stretch/>
                            </pic:blipFill>
                            <pic:spPr bwMode="auto">
                              <a:xfrm>
                                <a:off x="0" y="0"/>
                                <a:ext cx="523875"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1.2pt;height:37.5pt;mso-wrap-distance-left:0.0pt;mso-wrap-distance-top:0.0pt;mso-wrap-distance-right:0.0pt;mso-wrap-distance-bottom:0.0pt;" stroked="f" strokeweight="0.75pt">
                      <v:path textboxrect="0,0,0,0"/>
                      <v:imagedata r:id="rId84"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主席台会议椅</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尺寸：会议椅整体尺寸为宽 470mm× 深 510mm× 高 1060mm，误差范围不超过 ±5mm；座面尺寸宽 450mm× 深 480mm，座面高度 450mm±10mm；靠背高度 610mm，靠背宽度 430mm，确保符合人体工学，满足长时间会议使用的舒适性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结构设计：采用框架式结构，椅背与座面一体成型，椅背设计符合人体脊柱曲线，靠背倾斜角度为 105°；椅脚采用四脚支撑结构，底部配备防滑橡胶脚垫，脚垫直径不小于 30mm，厚度不小于 5mm，防止刮伤地面且稳固防滑。</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框架材质：椅架主体采用优质橡胶木，木材含水率需控制在 8% - 12%，符合 GB/T 1931-2009《木材含水率测定方法》标准；橡胶木需经过防腐、防虫处理，无虫蛀、腐朽、死结等缺陷；木材表面需进行砂光处理，确保表面光滑无毛刺。</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西皮材质：座面与靠背表面包覆优质西皮，厚度≥1.2mm，表面纹理自然，手感柔软；西皮需具备良好的耐磨性、耐污性和透气性，色牢度≥4 级（参照 GB/T 3920-2008《纺织品 色牢度试验 耐摩擦色牢度》）；采用环保胶水贴合，无异味，符合 GB 18583-2008《室内装饰装修材料 胶粘剂中有害物质限量》标准。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海绵填充：座面与靠背内部填充高密度聚氨酯海绵，海绵密度≥35kg/m</w:t>
            </w:r>
            <w:r>
              <w:rPr>
                <w:rStyle w:val="863"/>
                <w:b w:val="0"/>
                <w:bCs w:val="0"/>
                <w:sz w:val="18"/>
                <w:szCs w:val="18"/>
                <w:lang w:val="en-US" w:eastAsia="zh-CN" w:bidi="ar"/>
              </w:rPr>
              <w:t xml:space="preserve">³</w:t>
            </w:r>
            <w:r>
              <w:rPr>
                <w:rStyle w:val="868"/>
                <w:b w:val="0"/>
                <w:bCs w:val="0"/>
                <w:sz w:val="18"/>
                <w:szCs w:val="18"/>
                <w:lang w:val="en-US" w:eastAsia="zh-CN" w:bidi="ar"/>
              </w:rPr>
              <w:t xml:space="preserve">，回弹率≥60%（参照 GB/T 6670-2008《软质泡沫聚合材料 落球法回弹性能的测定》），确保坐感舒适且不易变形，使用寿命长。</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加工工艺：橡胶木部件采用榫卯与五金连接件相结合的方式拼接，关键部位使用高强度螺丝加固，确保结构牢固；西皮裁剪整齐，包覆平整，边角处无褶皱、翘边现象；缝合线迹均匀，针距为 8 - 10 针 / 3cm，缝线强度高，不易断裂。</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85775"/>
                      <wp:effectExtent l="0" t="0" r="9525" b="1905"/>
                      <wp:docPr id="79" name="图片 83"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83" descr="IMG_338"/>
                              <pic:cNvPicPr>
                                <a:picLocks noChangeAspect="1"/>
                              </pic:cNvPicPr>
                              <pic:nvPr/>
                            </pic:nvPicPr>
                            <pic:blipFill>
                              <a:blip r:embed="rId85"/>
                              <a:stretch/>
                            </pic:blipFill>
                            <pic:spPr bwMode="auto">
                              <a:xfrm>
                                <a:off x="0" y="0"/>
                                <a:ext cx="523875"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1.2pt;height:38.2pt;mso-wrap-distance-left:0.0pt;mso-wrap-distance-top:0.0pt;mso-wrap-distance-right:0.0pt;mso-wrap-distance-bottom:0.0pt;" stroked="f" strokeweight="0.75pt">
                      <v:path textboxrect="0,0,0,0"/>
                      <v:imagedata r:id="rId85" o:title=""/>
                    </v:shape>
                  </w:pict>
                </mc:Fallback>
              </mc:AlternateConten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单人阶梯座椅</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座椅部分：座面宽度不小于 45cm，深度不小于 40cm，座面离地面高度为 45 - 50cm，误差不超过 ±1cm；靠背高度（从座面到靠背顶端）不小于 40cm，靠背倾斜角度为 100 - 110°，为使用者提供舒适的坐姿支撑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座椅框架：采用高强度钢材，钢材屈服强度不低于 235MPa，厚度不小于 2mm；符合 GB/T 3190 - 2020 标准，确保框架稳固，承重能力不低于 150kg。表面经脱脂、酸洗、磷化、静电喷塑处理，涂层厚度不小于 80μm，通过 48 小时盐雾测试，具备防锈、防腐蚀性能。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座面与靠背：采用高密度工程塑料或优质皮革包裹高密度海绵。工程塑料需符合 GB/T 11547 - 2017 标准，表面光滑、耐磨、易清洁；皮革材质需符合 GB 18585 - 2017 标准，无异味；海绵密度不低于 35kg/m</w:t>
            </w:r>
            <w:r>
              <w:rPr>
                <w:rStyle w:val="863"/>
                <w:b w:val="0"/>
                <w:bCs w:val="0"/>
                <w:sz w:val="18"/>
                <w:szCs w:val="18"/>
                <w:lang w:val="en-US" w:eastAsia="zh-CN" w:bidi="ar"/>
              </w:rPr>
              <w:t xml:space="preserve">³</w:t>
            </w:r>
            <w:r>
              <w:rPr>
                <w:rStyle w:val="868"/>
                <w:b w:val="0"/>
                <w:bCs w:val="0"/>
                <w:sz w:val="18"/>
                <w:szCs w:val="18"/>
                <w:lang w:val="en-US" w:eastAsia="zh-CN" w:bidi="ar"/>
              </w:rPr>
              <w:t xml:space="preserve">，提供良好的缓冲和支撑效果，久坐不易变形。</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桌板材质：选用优质中密度纤维板（MDF）或实木颗粒板，板材需符合 GB/T 11718 - 2009 标准，甲醛释放量达到 E1 级（≤0.124mg/m</w:t>
            </w:r>
            <w:r>
              <w:rPr>
                <w:rStyle w:val="863"/>
                <w:b w:val="0"/>
                <w:bCs w:val="0"/>
                <w:sz w:val="18"/>
                <w:szCs w:val="18"/>
                <w:lang w:val="en-US" w:eastAsia="zh-CN" w:bidi="ar"/>
              </w:rPr>
              <w:t xml:space="preserve">³</w:t>
            </w:r>
            <w:r>
              <w:rPr>
                <w:rStyle w:val="868"/>
                <w:b w:val="0"/>
                <w:bCs w:val="0"/>
                <w:sz w:val="18"/>
                <w:szCs w:val="18"/>
                <w:lang w:val="en-US" w:eastAsia="zh-CN" w:bidi="ar"/>
              </w:rPr>
              <w:t xml:space="preserve">）；表面覆盖防火、耐磨、防刮的三聚氰胺饰面，厚度不小于 0.8mm，颜色可选范围广，纹理自然美观。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连接件：关键连接部件如螺丝、螺母、铰链等采用不锈钢材质，具备良好的耐磨性和抗腐蚀性，保证座椅与桌板连接牢固，长期使用不易松动。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可折叠功能：座椅座面和桌板需具备可折叠设计，折叠操作简便、灵活，折叠后厚度不超过 10cm，便于收纳和空间整理；折叠结构稳固，锁定可靠，使用时不会自动折叠，确保安全。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调节功能：桌板高度调节装置操作便捷，可通过旋钮或卡扣方式实现快速调节，并能牢固锁定在任意高度；部分型号可设计为桌板角度可调，调节范围为 0 - 30°，满足书写、阅读等不同使用需求。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防滑设计：座椅底部四角安装防滑橡胶脚垫，尺寸不小于 5cm×5cm，厚度不小于 1cm，增加与地面的摩擦力，防止座椅滑动；桌板表面具有一定的防滑性能，防止放置的物品滑落。</w:t>
            </w:r>
            <w:r>
              <w:rPr>
                <w:rStyle w:val="869"/>
                <w:rFonts w:eastAsia="黑体"/>
                <w:b w:val="0"/>
                <w:bCs w:val="0"/>
                <w:sz w:val="18"/>
                <w:szCs w:val="1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default" w:ascii="黑体" w:hAnsi="宋体" w:eastAsia="黑体" w:cs="黑体"/>
                <w:b w:val="0"/>
                <w:bCs w:val="0"/>
                <w:i w:val="0"/>
                <w:iCs w:val="0"/>
                <w:color w:val="000000"/>
                <w:sz w:val="18"/>
                <w:szCs w:val="18"/>
                <w:u w:val="none"/>
                <w:lang w:val="en-US" w:eastAsia="zh-CN" w:bidi="ar"/>
              </w:rPr>
              <w:t xml:space="preserve">294</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sz w:val="18"/>
                <w:szCs w:val="18"/>
              </w:rPr>
              <mc:AlternateContent>
                <mc:Choice Requires="wpg">
                  <w:drawing>
                    <wp:inline xmlns:wp="http://schemas.openxmlformats.org/drawingml/2006/wordprocessingDrawing" distT="0" distB="0" distL="0" distR="0">
                      <wp:extent cx="436880" cy="361315"/>
                      <wp:effectExtent l="0" t="0" r="5080" b="4445"/>
                      <wp:docPr id="8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 name="图片 3"/>
                              <pic:cNvPicPr>
                                <a:picLocks noChangeAspect="1"/>
                              </pic:cNvPicPr>
                              <pic:nvPr/>
                            </pic:nvPicPr>
                            <pic:blipFill>
                              <a:blip r:embed="rId86"/>
                              <a:stretch/>
                            </pic:blipFill>
                            <pic:spPr bwMode="auto">
                              <a:xfrm flipH="1">
                                <a:off x="0" y="0"/>
                                <a:ext cx="436880" cy="3613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34.4pt;height:28.4pt;mso-wrap-distance-left:0.0pt;mso-wrap-distance-top:0.0pt;mso-wrap-distance-right:0.0pt;mso-wrap-distance-bottom:0.0pt;flip:x;" stroked="f" strokeweight="0.75pt">
                      <v:path textboxrect="0,0,0,0"/>
                      <v:imagedata r:id="rId86"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Style w:val="868"/>
                <w:rFonts w:hAnsi="宋体"/>
                <w:b w:val="0"/>
                <w:bCs w:val="0"/>
                <w:sz w:val="18"/>
                <w:szCs w:val="18"/>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1.按照接待室沙发组（配1+3+1位+1茶几）</w:t>
            </w:r>
            <w:r>
              <w:rPr>
                <w:rStyle w:val="868"/>
                <w:rFonts w:hAnsi="宋体"/>
                <w:b w:val="0"/>
                <w:bCs w:val="0"/>
                <w:sz w:val="18"/>
                <w:szCs w:val="18"/>
                <w:lang w:val="en-US" w:eastAsia="zh-CN" w:bidi="ar"/>
              </w:rPr>
              <w:t xml:space="preserve">适配基地接待室正式接待场景，1+3+1 位组合可容纳 5-6 人同时就坐（满足小型会谈需求），整体尺寸与接待室空间匹配（沙发组占地面积≤3.5㎡，预留≥1.2m 接待通道），面料耐脏易清洁（适配接待场景茶水泼洒、灰尘沾染），风格简约大气（适配基地庄重形象）。</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2.</w:t>
            </w:r>
            <w:r>
              <w:rPr>
                <w:rStyle w:val="868"/>
                <w:rFonts w:hAnsi="宋体"/>
                <w:b w:val="0"/>
                <w:bCs w:val="0"/>
                <w:sz w:val="18"/>
                <w:szCs w:val="18"/>
                <w:lang w:val="en-US" w:eastAsia="zh-CN" w:bidi="ar"/>
              </w:rPr>
              <w:t xml:space="preserve">核心材质选择</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1）</w:t>
            </w:r>
            <w:r>
              <w:rPr>
                <w:rStyle w:val="868"/>
                <w:rFonts w:hint="default" w:hAnsi="宋体"/>
                <w:b w:val="0"/>
                <w:bCs w:val="0"/>
                <w:sz w:val="18"/>
                <w:szCs w:val="18"/>
                <w:lang w:val="en-US" w:eastAsia="zh-CN" w:bidi="ar"/>
              </w:rPr>
              <w:t xml:space="preserve">面料（二选一）： - 选项 1（防污布艺）：高耐磨</w:t>
            </w:r>
            <w:r>
              <w:rPr>
                <w:rStyle w:val="868"/>
                <w:rFonts w:hint="default" w:hAnsi="宋体"/>
                <w:b w:val="0"/>
                <w:bCs w:val="0"/>
                <w:sz w:val="18"/>
                <w:szCs w:val="18"/>
                <w:lang w:val="en-US" w:eastAsia="zh-CN" w:bidi="ar"/>
              </w:rPr>
              <w:t xml:space="preserve">聚酯纤维布（密度≥1200D，经向抗拉强度≥800N/5cm，纬向抗拉强度≥700N/5cm，耐磨转数≥30000 转（GB/T 4802.2 测试），表面覆防水防污涂层（防水等级 IPX4，防污等级≥4 级），颜色可选深灰色 / 藏蓝色（耐脏易清洁，适配基地色调），色牢度≥4 级（水洗、日晒后无褪色）； - 选项 2（皮质）：优质 PU 皮（厚度≥1.2mm，撕裂强度≥30N/cm，剥离强度≥10N/2.5cm，耐摩擦色牢度≥4 级，表面耐污易清洁，无异味，符合 GB/T 22882-2016 标准）；2</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海绵填充：高密度慢回弹海绵（座垫海绵密度≥45kg/m³，靠背海绵密度≥35kg/m³，回弹率≥75%（GB/T 6670 测试），压缩永久变形≤5%（70℃×22h 测试），久坐无塌陷，搭配 2cm 厚高弹丝绵（增强坐感柔软度）；3</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 框架结构：实木框架（选用松木 / 橡木，气干密度≥0.5g/cm³，含水率 8%-12%，经防虫防腐处理，无节疤裂纹）或 304 不锈钢框架（方管截面 50×50mm，壁厚≥1.2mm，盐雾测试 72 小时无锈蚀），框架连接处采用榫卯结构 + 不锈钢螺栓加固（螺栓直径≥8mm，防松动）</w:t>
            </w:r>
            <w:r>
              <w:rPr>
                <w:rStyle w:val="868"/>
                <w:rFonts w:hint="eastAsia" w:hAnsi="宋体"/>
                <w:b w:val="0"/>
                <w:bCs w:val="0"/>
                <w:sz w:val="18"/>
                <w:szCs w:val="18"/>
                <w:lang w:val="en-US" w:eastAsia="zh-CN" w:bidi="ar"/>
              </w:rPr>
              <w:t xml:space="preserve">。</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3.</w:t>
            </w:r>
            <w:r>
              <w:rPr>
                <w:rStyle w:val="868"/>
                <w:rFonts w:hAnsi="宋体"/>
                <w:b w:val="0"/>
                <w:bCs w:val="0"/>
                <w:sz w:val="18"/>
                <w:szCs w:val="18"/>
                <w:lang w:val="en-US" w:eastAsia="zh-CN" w:bidi="ar"/>
              </w:rPr>
              <w:t xml:space="preserve">沙发规格尺寸</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1） </w:t>
            </w:r>
            <w:r>
              <w:rPr>
                <w:rStyle w:val="868"/>
                <w:rFonts w:hint="default" w:hAnsi="宋体"/>
                <w:b w:val="0"/>
                <w:bCs w:val="0"/>
                <w:sz w:val="18"/>
                <w:szCs w:val="18"/>
                <w:lang w:val="en-US" w:eastAsia="zh-CN" w:bidi="ar"/>
              </w:rPr>
              <w:t xml:space="preserve">单人位沙发（2 张）： - 尺寸：长 85-90cm× 宽 80-85cm× 高 85-90cm（坐面尺寸 55×50cm，坐面高度 42-45cm，靠背高度 43-45cm），扶手高度 65-70cm（适配手臂自然放置）；2</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 三人位沙发（1 张）： - 尺寸：长 210-220cm× 宽 80-85cm× 高 85-90cm（坐面尺寸 180×50cm，坐面高度 42-45cm，靠背高度 43-45cm），扶手高度 65-70cm（两端设扶手，中间无阻碍，适配 3 人同时就坐）； - 误差要求：所有尺寸误差≤±2cm，坐面水平度偏差≤1mm，确保组合摆放整齐</w:t>
            </w:r>
            <w:r>
              <w:rPr>
                <w:rStyle w:val="868"/>
                <w:rFonts w:hint="eastAsia" w:hAnsi="宋体"/>
                <w:b w:val="0"/>
                <w:bCs w:val="0"/>
                <w:sz w:val="18"/>
                <w:szCs w:val="18"/>
                <w:lang w:val="en-US" w:eastAsia="zh-CN" w:bidi="ar"/>
              </w:rPr>
              <w:t xml:space="preserve">。</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4.</w:t>
            </w:r>
            <w:r>
              <w:rPr>
                <w:rStyle w:val="868"/>
                <w:rFonts w:hAnsi="宋体"/>
                <w:b w:val="0"/>
                <w:bCs w:val="0"/>
                <w:sz w:val="18"/>
                <w:szCs w:val="18"/>
                <w:lang w:val="en-US" w:eastAsia="zh-CN" w:bidi="ar"/>
              </w:rPr>
              <w:t xml:space="preserve">工艺与细节设计</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1）</w:t>
            </w:r>
            <w:r>
              <w:rPr>
                <w:rStyle w:val="868"/>
                <w:rFonts w:hint="default" w:hAnsi="宋体"/>
                <w:b w:val="0"/>
                <w:bCs w:val="0"/>
                <w:sz w:val="18"/>
                <w:szCs w:val="18"/>
                <w:lang w:val="en-US" w:eastAsia="zh-CN" w:bidi="ar"/>
              </w:rPr>
              <w:t xml:space="preserve">坐面与靠背：座垫采用 “海绵 + 弹簧” 双层结构（可选配蛇形弹簧，直径≥2.5mm，间距≤8cm，增强支撑性与耐用性），靠背贴合人体脊柱曲线（腰部支撑高度 18-20cm，缓解久坐疲劳）；2</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边缘处理：面料边缘双线车缝（针距 10-12 针 / 3cm，线迹平整无跳线，缝线断裂强度≥15N），扶手与座垫连接处包边处理（包边宽度 3cm，防止面料磨损）；3</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 防滑与稳固：沙发底部装橡胶防滑垫（厚度≥5mm，摩擦系数≥0.8，适配瓷砖 / 木质地面，防止滑动），三人位沙发底部设 2 根横向加强撑（与框架同材质，间距≤60cm，增强整体稳固性）；4</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实用细节：单人位沙发侧面可选配隐藏式储物袋（面料与沙发一致，尺寸 25×30cm，用于放置杂志资料），靠背顶部设柔软靠枕（2 个 / 三人位，1 个 / 单人位，与沙发面料匹配，可拆卸清洗）</w:t>
            </w:r>
            <w:r>
              <w:rPr>
                <w:rStyle w:val="868"/>
                <w:rFonts w:hint="eastAsia" w:hAnsi="宋体"/>
                <w:b w:val="0"/>
                <w:bCs w:val="0"/>
                <w:sz w:val="18"/>
                <w:szCs w:val="18"/>
                <w:lang w:val="en-US" w:eastAsia="zh-CN" w:bidi="ar"/>
              </w:rPr>
              <w:t xml:space="preserve">。</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5.</w:t>
            </w:r>
            <w:r>
              <w:rPr>
                <w:rStyle w:val="868"/>
                <w:rFonts w:hAnsi="宋体"/>
                <w:b w:val="0"/>
                <w:bCs w:val="0"/>
                <w:sz w:val="18"/>
                <w:szCs w:val="18"/>
                <w:lang w:val="en-US" w:eastAsia="zh-CN" w:bidi="ar"/>
              </w:rPr>
              <w:t xml:space="preserve">配套茶几</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1）</w:t>
            </w:r>
            <w:r>
              <w:rPr>
                <w:rStyle w:val="868"/>
                <w:rFonts w:hint="default" w:hAnsi="宋体"/>
                <w:b w:val="0"/>
                <w:bCs w:val="0"/>
                <w:sz w:val="18"/>
                <w:szCs w:val="18"/>
                <w:lang w:val="en-US" w:eastAsia="zh-CN" w:bidi="ar"/>
              </w:rPr>
              <w:t xml:space="preserve">桌面材质（与沙发风格匹配）： - 选项 1（实木 / 实木复合）：与沙发框架同材质实木（厚度≥2.5cm）或实木复合板（表面贴实木木皮，厚度≥0.6mm，覆环保清漆，硬度≥2H，防刮擦）； - 选项 2（岩板）：6mm 厚哑光岩板（莫氏硬度≥6 级，防刮耐磨，耐污等级≥5 级，耐高温 200℃以上，无渗透）； - 选项 3（不锈钢）：304 不锈钢桌面（厚度≥1.5mm，表面拉丝处理，防指纹，耐锈蚀）；2</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茶几框架：与沙发框架材质统一（实木 / 304 不锈钢），支腿截面 40×40mm（实木）或 30×30mm（不锈钢），壁厚≥1.0mm；3</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规格尺寸：长 120-130cm× 宽 60-65cm× 高 42-45cm（与沙发坐面高度匹配，便于放置茶水资料），桌面边缘倒圆处理（半径≥5mm，防磕碰），误差≤±2cm</w:t>
            </w:r>
            <w:r>
              <w:rPr>
                <w:rStyle w:val="868"/>
                <w:rFonts w:hint="eastAsia" w:hAnsi="宋体"/>
                <w:b w:val="0"/>
                <w:bCs w:val="0"/>
                <w:sz w:val="18"/>
                <w:szCs w:val="18"/>
                <w:lang w:val="en-US" w:eastAsia="zh-CN" w:bidi="ar"/>
              </w:rPr>
              <w:t xml:space="preserve">。</w:t>
            </w:r>
            <w:r/>
          </w:p>
          <w:p>
            <w:pPr>
              <w:jc w:val="left"/>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Style w:val="868"/>
                <w:rFonts w:hint="eastAsia" w:hAnsi="宋体"/>
                <w:b w:val="0"/>
                <w:bCs w:val="0"/>
                <w:sz w:val="18"/>
                <w:szCs w:val="18"/>
                <w:lang w:val="en-US" w:eastAsia="zh-CN" w:bidi="ar"/>
              </w:rPr>
              <w:t xml:space="preserve">6.</w:t>
            </w:r>
            <w:r>
              <w:rPr>
                <w:rStyle w:val="868"/>
                <w:rFonts w:hAnsi="宋体"/>
                <w:b w:val="0"/>
                <w:bCs w:val="0"/>
                <w:sz w:val="18"/>
                <w:szCs w:val="18"/>
                <w:lang w:val="en-US" w:eastAsia="zh-CN" w:bidi="ar"/>
              </w:rPr>
              <w:t xml:space="preserve"> </w:t>
            </w:r>
            <w:r>
              <w:rPr>
                <w:rStyle w:val="868"/>
                <w:rFonts w:hint="default" w:hAnsi="宋体"/>
                <w:b w:val="0"/>
                <w:bCs w:val="0"/>
                <w:sz w:val="18"/>
                <w:szCs w:val="18"/>
                <w:lang w:val="en-US" w:eastAsia="zh-CN" w:bidi="ar"/>
              </w:rPr>
              <w:t xml:space="preserve">稳固性：</w:t>
            </w:r>
            <w:r>
              <w:rPr>
                <w:rStyle w:val="868"/>
                <w:rFonts w:hint="eastAsia" w:hAnsi="宋体"/>
                <w:b w:val="0"/>
                <w:bCs w:val="0"/>
                <w:sz w:val="18"/>
                <w:szCs w:val="18"/>
                <w:lang w:val="en-US" w:eastAsia="zh-CN" w:bidi="ar"/>
              </w:rPr>
              <w:t xml:space="preserve">1）</w:t>
            </w:r>
            <w:r>
              <w:rPr>
                <w:rStyle w:val="868"/>
                <w:rFonts w:hint="default" w:hAnsi="宋体"/>
                <w:b w:val="0"/>
                <w:bCs w:val="0"/>
                <w:sz w:val="18"/>
                <w:szCs w:val="18"/>
                <w:lang w:val="en-US" w:eastAsia="zh-CN" w:bidi="ar"/>
              </w:rPr>
              <w:t xml:space="preserve">静态承重≥150kg（桌面均匀放置茶具、资料等，24 小时无弯曲（弯曲度≤2mm）、支腿无松动），底部设加强横撑（2 根，与支腿同材质，间距≤50cm）；2</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 防污与清洁：桌面表面光滑无毛孔（岩板 / 不锈钢材质）或覆防污涂层（实木材质），沾染茶水、污渍后湿布即可擦拭干净，无残留；3</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 细节处理：支腿底部装橡胶防滑垫（与沙发防滑垫一致，避免刮伤地面），框架连接处焊接 / 螺栓加固（无虚焊、漏焊，螺栓隐藏处理，美观且防刮擦）；4</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功能适配：桌面可选配隐藏式导线孔（直径≥20mm，位于桌面角落，便于放置咖啡机、充电设备等，孔周设硅胶保护圈防刮线</w:t>
            </w:r>
            <w:r>
              <w:rPr>
                <w:rStyle w:val="868"/>
                <w:rFonts w:hint="eastAsia" w:hAnsi="宋体"/>
                <w:b w:val="0"/>
                <w:bCs w:val="0"/>
                <w:sz w:val="18"/>
                <w:szCs w:val="1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04825"/>
                      <wp:effectExtent l="0" t="0" r="9525" b="13335"/>
                      <wp:docPr id="81" name="图片 85"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85" descr="IMG_340"/>
                              <pic:cNvPicPr>
                                <a:picLocks noChangeAspect="1"/>
                              </pic:cNvPicPr>
                              <pic:nvPr/>
                            </pic:nvPicPr>
                            <pic:blipFill>
                              <a:blip r:embed="rId87"/>
                              <a:stretch/>
                            </pic:blipFill>
                            <pic:spPr bwMode="auto">
                              <a:xfrm>
                                <a:off x="0" y="0"/>
                                <a:ext cx="523875"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41.2pt;height:39.8pt;mso-wrap-distance-left:0.0pt;mso-wrap-distance-top:0.0pt;mso-wrap-distance-right:0.0pt;mso-wrap-distance-bottom:0.0pt;" stroked="f" strokeweight="0.75pt">
                      <v:path textboxrect="0,0,0,0"/>
                      <v:imagedata r:id="rId8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r>
            <w:r/>
          </w:p>
          <w:p>
            <w:pPr>
              <w:jc w:val="center"/>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r>
            <w:r/>
          </w:p>
          <w:p>
            <w:pPr>
              <w:jc w:val="center"/>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r>
            <w:r/>
          </w:p>
          <w:p>
            <w:pPr>
              <w:jc w:val="center"/>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r>
            <w:r/>
          </w:p>
          <w:p>
            <w:pPr>
              <w:jc w:val="center"/>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r>
            <w:r/>
          </w:p>
          <w:p>
            <w:pPr>
              <w:jc w:val="center"/>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铁床</w:t>
            </w:r>
            <w:r/>
          </w:p>
          <w:p>
            <w:pPr>
              <w:rPr>
                <w:rFonts w:hint="eastAsia" w:asciiTheme="minorHAnsi" w:hAnsiTheme="minorHAnsi" w:eastAsiaTheme="minorEastAsia" w:cstheme="minorBidi"/>
                <w:sz w:val="18"/>
                <w:szCs w:val="18"/>
                <w:lang w:val="en-US" w:eastAsia="zh-CN" w:bidi="ar-SA"/>
              </w:rPr>
            </w:pPr>
            <w:r>
              <w:rPr>
                <w:rFonts w:hint="eastAsia" w:asciiTheme="minorHAnsi" w:hAnsiTheme="minorHAnsi" w:eastAsiaTheme="minorEastAsia" w:cstheme="minorBidi"/>
                <w:sz w:val="18"/>
                <w:szCs w:val="18"/>
                <w:lang w:val="en-US" w:eastAsia="zh-CN" w:bidi="ar-SA"/>
              </w:rPr>
            </w:r>
            <w:r/>
          </w:p>
          <w:p>
            <w:pPr>
              <w:rPr>
                <w:rFonts w:hint="eastAsia"/>
                <w:sz w:val="18"/>
                <w:szCs w:val="18"/>
                <w:lang w:val="en-US" w:eastAsia="zh-CN"/>
              </w:rPr>
            </w:pPr>
            <w:r>
              <w:rPr>
                <w:rFonts w:hint="eastAsia"/>
                <w:sz w:val="18"/>
                <w:szCs w:val="18"/>
                <w:lang w:val="en-US" w:eastAsia="zh-CN"/>
              </w:rPr>
            </w:r>
            <w:r/>
          </w:p>
          <w:p>
            <w:pPr>
              <w:rPr>
                <w:rFonts w:hint="eastAsia"/>
                <w:sz w:val="18"/>
                <w:szCs w:val="18"/>
                <w:lang w:val="en-US" w:eastAsia="zh-CN"/>
              </w:rPr>
            </w:pPr>
            <w:r>
              <w:rPr>
                <w:rFonts w:hint="eastAsia"/>
                <w:sz w:val="18"/>
                <w:szCs w:val="18"/>
                <w:lang w:val="en-US" w:eastAsia="zh-CN"/>
              </w:rPr>
            </w:r>
            <w:r/>
          </w:p>
          <w:p>
            <w:pPr>
              <w:rPr>
                <w:rFonts w:hint="eastAsia"/>
                <w:sz w:val="18"/>
                <w:szCs w:val="18"/>
                <w:lang w:val="en-US" w:eastAsia="zh-CN"/>
              </w:rPr>
            </w:pPr>
            <w:r>
              <w:rPr>
                <w:rFonts w:hint="eastAsia"/>
                <w:sz w:val="18"/>
                <w:szCs w:val="18"/>
                <w:lang w:val="en-US" w:eastAsia="zh-CN"/>
              </w:rPr>
            </w:r>
            <w:r/>
          </w:p>
          <w:p>
            <w:pPr>
              <w:rPr>
                <w:rFonts w:hint="eastAsia"/>
                <w:sz w:val="18"/>
                <w:szCs w:val="18"/>
                <w:lang w:val="en-US" w:eastAsia="zh-CN"/>
              </w:rPr>
            </w:pPr>
            <w:r>
              <w:rPr>
                <w:rFonts w:hint="eastAsia"/>
                <w:sz w:val="18"/>
                <w:szCs w:val="18"/>
                <w:lang w:val="en-US" w:eastAsia="zh-CN"/>
              </w:rPr>
            </w:r>
            <w:r/>
          </w:p>
          <w:p>
            <w:pPr>
              <w:jc w:val="center"/>
              <w:rPr>
                <w:rFonts w:hint="eastAsia"/>
                <w:sz w:val="18"/>
                <w:szCs w:val="18"/>
                <w:lang w:val="en-US" w:eastAsia="zh-CN"/>
              </w:rPr>
            </w:pPr>
            <w:r>
              <w:rPr>
                <w:rFonts w:hint="eastAsia"/>
                <w:sz w:val="18"/>
                <w:szCs w:val="18"/>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整体尺寸：床体规格为长 200cm× 宽 90cm× 高 180cm，误差范围不超过 ±3mm，确保适配目标空间 。上下两层床面间距不小于 90cm，保证下层使用者有充足活动空间；床体底部离地高度不小于 15cm，方便清扫与放置物品。</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床板尺寸：单个床板尺寸为长 190cm× 宽 85cm，厚度不小于 3cm，误差不超过 ±1mm，确保稳固支撑；床板边缘倒圆角处理，圆角半径不小于 1cm，防止磕碰。</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框架材质：采用优质加厚冷轧钢管，主框架管材规格不小于 45mm×45mm×2.5mm，其他支撑管材规格不小于 3mm×3mm×2mm，材质符合 GB/T 3091 - 2015《低压流体输送用焊接钢管》标准，屈服强度不低于 235MPa，确保整体承重能力不低于 250kg / 层。钢材表面经脱脂、酸洗、磷化、静电喷塑处理，涂层厚度不小于 80μm，通过 48 小时盐雾测试，具备防锈、防腐蚀性能。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床板材质：选用优质</w:t>
            </w:r>
            <w:r>
              <w:rPr>
                <w:rStyle w:val="868"/>
                <w:rFonts w:hint="eastAsia"/>
                <w:b w:val="0"/>
                <w:bCs w:val="0"/>
                <w:sz w:val="18"/>
                <w:szCs w:val="18"/>
                <w:lang w:val="en-US" w:eastAsia="zh-CN" w:bidi="ar"/>
              </w:rPr>
              <w:t xml:space="preserve">松木板</w:t>
            </w:r>
            <w:r>
              <w:rPr>
                <w:rStyle w:val="868"/>
                <w:b w:val="0"/>
                <w:bCs w:val="0"/>
                <w:sz w:val="18"/>
                <w:szCs w:val="18"/>
                <w:lang w:val="en-US" w:eastAsia="zh-CN" w:bidi="ar"/>
              </w:rPr>
              <w:t xml:space="preserve">，符合 GB/T 9846 - 2015《普通胶合板》标准，甲醛释放量达到 E0 级（≤0.05mg/m</w:t>
            </w:r>
            <w:r>
              <w:rPr>
                <w:rStyle w:val="863"/>
                <w:b w:val="0"/>
                <w:bCs w:val="0"/>
                <w:sz w:val="18"/>
                <w:szCs w:val="18"/>
                <w:lang w:val="en-US" w:eastAsia="zh-CN" w:bidi="ar"/>
              </w:rPr>
              <w:t xml:space="preserve">³</w:t>
            </w:r>
            <w:r>
              <w:rPr>
                <w:rStyle w:val="868"/>
                <w:b w:val="0"/>
                <w:bCs w:val="0"/>
                <w:sz w:val="18"/>
                <w:szCs w:val="18"/>
                <w:lang w:val="en-US" w:eastAsia="zh-CN" w:bidi="ar"/>
              </w:rPr>
              <w:t xml:space="preserve">）；整体结构稳固，不易变形、开裂。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护栏材质：护栏采用与框架相同的冷轧钢管，管径不小于 19mm，高度不低于 30cm，确保使用者安全；护栏表面同样进行静电喷塑处理，与床体整体风格一致。</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焊接工艺：床体各部件采用二氧化碳气体保护焊焊接，焊缝均匀饱满，无虚焊、漏焊、焊穿等现象，焊接处表面平整光滑，焊接强度需通过专业力学测试，确保结构牢固。关键部位（如立柱与横梁连接处）采用加强焊接工艺，进一步提升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表面处理：钢材表面静电喷塑涂层需均匀覆盖，附着力强，无剥落、龟裂、气泡等缺陷；颜色可选范围广，建议采用浅色系，便于与各类环境搭配，且涂层硬度达到 2H 及以上，具备良好的耐磨、耐刮性能。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连接工艺：床体各部件连接采用高强度螺栓螺母固定，螺母需配备防松垫片，防止使用过程中松动；连接处紧密贴合，无明显缝隙，确保床体稳固不摇晃。</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梯子设计：配备防滑梯，梯子踏板宽度不小于 20cm，深度不小于 15cm，表面设置防滑纹路或覆盖防滑橡胶垫，防止上下攀爬时滑倒；梯子与床体连接牢固，连接处承重能力不低于 150kg，梯子倾斜角度为 75° - 80°，符合人体工程学设计，方便攀爬。</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护栏设计：上层床面四周均需安装护栏，除靠近梯子一侧外，其他三面护栏长度不小于床板长度的 90%；护栏间距不大于 8cm，防止使用者身体滑落，且护栏顶部需进行圆滑处理，避免刮伤。</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稳定性设计：床体底部四角配备可调节脚垫，调节范围不小于 10mm，以适应不同地面平整度，确保床体放置平稳，无摇晃现象；床体内部设置横向与纵向加强筋，增强整体结构稳定性。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所有部件边缘无尖锐边角和毛刺，防止划伤使用者；焊接部位打磨光滑，无凸起或凹陷；螺丝等连接件需完全隐藏或加装防护帽，避免刮碰。</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b w:val="0"/>
                <w:bCs w:val="0"/>
                <w:sz w:val="18"/>
                <w:szCs w:val="18"/>
                <w:lang w:val="en-US" w:eastAsia="zh-CN" w:bidi="ar"/>
              </w:rPr>
              <w:t xml:space="preserve">床体在正常使用和轻微外力撞击下，不会发生倾倒或散架现象；在承重测试中，各部件无变形、断裂等情况，确保使用者安全。</w:t>
            </w:r>
            <w:r>
              <w:rPr>
                <w:rStyle w:val="869"/>
                <w:rFonts w:eastAsia="黑体"/>
                <w:b w:val="0"/>
                <w:bCs w:val="0"/>
                <w:sz w:val="18"/>
                <w:szCs w:val="1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61975"/>
                      <wp:effectExtent l="0" t="0" r="9525" b="1905"/>
                      <wp:docPr id="82" name="图片 86"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6" descr="IMG_341"/>
                              <pic:cNvPicPr>
                                <a:picLocks noChangeAspect="1"/>
                              </pic:cNvPicPr>
                              <pic:nvPr/>
                            </pic:nvPicPr>
                            <pic:blipFill>
                              <a:blip r:embed="rId88"/>
                              <a:stretch/>
                            </pic:blipFill>
                            <pic:spPr bwMode="auto">
                              <a:xfrm>
                                <a:off x="0" y="0"/>
                                <a:ext cx="523875"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41.2pt;height:44.2pt;mso-wrap-distance-left:0.0pt;mso-wrap-distance-top:0.0pt;mso-wrap-distance-right:0.0pt;mso-wrap-distance-bottom:0.0pt;" stroked="f" strokeweight="0.75pt">
                      <v:path textboxrect="0,0,0,0"/>
                      <v:imagedata r:id="rId88"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1.铁质  适配基地宿舍、食堂、活动室等多场景，方凳尺寸需与桌椅（如阅览桌、餐桌）高度匹配（坐面高度 42-45cm，与桌面高度差 30-35cm），单凳承重≥150kg（满足成人高频使用），表面易清洁（沾染油污、灰尘后可湿布擦拭），风格简约实用（适配基地集体环境）。</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2.金属框架材质：1）</w:t>
            </w:r>
            <w:r>
              <w:rPr>
                <w:rFonts w:hint="default" w:ascii="黑体" w:hAnsi="宋体" w:eastAsia="黑体" w:cs="黑体"/>
                <w:b w:val="0"/>
                <w:bCs w:val="0"/>
                <w:i w:val="0"/>
                <w:iCs w:val="0"/>
                <w:color w:val="000000"/>
                <w:sz w:val="18"/>
                <w:szCs w:val="18"/>
                <w:u w:val="none"/>
                <w:lang w:val="en-US" w:eastAsia="zh-CN" w:bidi="ar"/>
              </w:rPr>
              <w:t xml:space="preserve">管材选择： - 主框架：冷轧无缝钢管（材质 Q235，符合 GB/T 3091 标准，截面尺寸≥25×25mm，壁厚≥1.2mm，确保结构刚性）； - 加强部件：座面下方设横向加强筋（同材质钢管，截面尺寸≥20×20mm，壁厚≥1.0mm，间距≤15cm，增强座面承重）；2</w:t>
            </w:r>
            <w:r>
              <w:rPr>
                <w:rFonts w:hint="eastAsia" w:ascii="黑体" w:hAnsi="宋体" w:eastAsia="黑体" w:cs="黑体"/>
                <w:b w:val="0"/>
                <w:bCs w:val="0"/>
                <w:i w:val="0"/>
                <w:iCs w:val="0"/>
                <w:color w:val="000000"/>
                <w:sz w:val="18"/>
                <w:szCs w:val="18"/>
                <w:u w:val="none"/>
                <w:lang w:val="en-US" w:eastAsia="zh-CN" w:bidi="ar"/>
              </w:rPr>
              <w:t xml:space="preserve">）</w:t>
            </w:r>
            <w:r>
              <w:rPr>
                <w:rFonts w:hint="default" w:ascii="黑体" w:hAnsi="宋体" w:eastAsia="黑体" w:cs="黑体"/>
                <w:b w:val="0"/>
                <w:bCs w:val="0"/>
                <w:i w:val="0"/>
                <w:iCs w:val="0"/>
                <w:color w:val="000000"/>
                <w:sz w:val="18"/>
                <w:szCs w:val="18"/>
                <w:u w:val="none"/>
                <w:lang w:val="en-US" w:eastAsia="zh-CN" w:bidi="ar"/>
              </w:rPr>
              <w:t xml:space="preserve"> 防锈处理： - 前处理：框架经酸洗、磷化、除油除锈（表面粗糙度 Ra≤1.6μm，无氧化皮、油污残留）； - 涂层：静电喷塑（粉末涂料为环保环氧聚酯型，厚度≥60μm，附着力等级 1 级（GB/T 9286 测试），耐盐雾测试≥48 小时（GB/T 10125），防腐蚀、防脱落，颜色可选深灰色、藏蓝色（适配基地色调）</w:t>
            </w:r>
            <w:r>
              <w:rPr>
                <w:rFonts w:hint="eastAsia" w:ascii="黑体" w:hAnsi="宋体" w:eastAsia="黑体" w:cs="黑体"/>
                <w:b w:val="0"/>
                <w:bCs w:val="0"/>
                <w:i w:val="0"/>
                <w:iCs w:val="0"/>
                <w:color w:val="000000"/>
                <w:sz w:val="18"/>
                <w:szCs w:val="18"/>
                <w:u w:val="none"/>
                <w:lang w:val="en-US" w:eastAsia="zh-CN" w:bidi="ar"/>
              </w:rPr>
              <w:t xml:space="preserve">。</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3.座面设计与材质：1） </w:t>
            </w:r>
            <w:r>
              <w:rPr>
                <w:rFonts w:hint="default" w:ascii="黑体" w:hAnsi="宋体" w:eastAsia="黑体" w:cs="黑体"/>
                <w:b w:val="0"/>
                <w:bCs w:val="0"/>
                <w:i w:val="0"/>
                <w:iCs w:val="0"/>
                <w:color w:val="000000"/>
                <w:sz w:val="18"/>
                <w:szCs w:val="18"/>
                <w:u w:val="none"/>
                <w:lang w:val="en-US" w:eastAsia="zh-CN" w:bidi="ar"/>
              </w:rPr>
              <w:t xml:space="preserve">座面规格：方形座面，尺寸 40×40cm-45×45cm（误差≤±2mm，适配成人臀部，受力均匀），座面边缘倒圆处理（半径≥3mm，防硌伤）；2</w:t>
            </w:r>
            <w:r>
              <w:rPr>
                <w:rFonts w:hint="eastAsia" w:ascii="黑体" w:hAnsi="宋体" w:eastAsia="黑体" w:cs="黑体"/>
                <w:b w:val="0"/>
                <w:bCs w:val="0"/>
                <w:i w:val="0"/>
                <w:iCs w:val="0"/>
                <w:color w:val="000000"/>
                <w:sz w:val="18"/>
                <w:szCs w:val="18"/>
                <w:u w:val="none"/>
                <w:lang w:val="en-US" w:eastAsia="zh-CN" w:bidi="ar"/>
              </w:rPr>
              <w:t xml:space="preserve">）</w:t>
            </w:r>
            <w:r>
              <w:rPr>
                <w:rFonts w:hint="default" w:ascii="黑体" w:hAnsi="宋体" w:eastAsia="黑体" w:cs="黑体"/>
                <w:b w:val="0"/>
                <w:bCs w:val="0"/>
                <w:i w:val="0"/>
                <w:iCs w:val="0"/>
                <w:color w:val="000000"/>
                <w:sz w:val="18"/>
                <w:szCs w:val="18"/>
                <w:u w:val="none"/>
                <w:lang w:val="en-US" w:eastAsia="zh-CN" w:bidi="ar"/>
              </w:rPr>
              <w:t xml:space="preserve">座面材质（二选一）： - 选项 1（全金属座面）：冷轧钢板（厚度≥1.0mm，表面与框架同工艺静电喷塑，座面冲压防滑纹路（纹路深度≥0.5mm，增强摩擦力，倾斜 15° 无滑动），四角设加强折边（高度≥2cm，防变形）； - 选项 2（金属 + 软垫座面）：金属底板（同选项 1）+ 3cm 厚高密度海绵（密度≥30kg/m³，回弹率≥70%）+ 防污面料（聚酯纤维布，密度≥800D，耐摩擦色牢度≥4 级，可拆洗设计（拉链连接，便于清洁更换）</w:t>
            </w:r>
            <w:r>
              <w:rPr>
                <w:rFonts w:hint="eastAsia" w:ascii="黑体" w:hAnsi="宋体" w:eastAsia="黑体" w:cs="黑体"/>
                <w:b w:val="0"/>
                <w:bCs w:val="0"/>
                <w:i w:val="0"/>
                <w:iCs w:val="0"/>
                <w:color w:val="000000"/>
                <w:sz w:val="18"/>
                <w:szCs w:val="18"/>
                <w:u w:val="none"/>
                <w:lang w:val="en-US" w:eastAsia="zh-CN" w:bidi="ar"/>
              </w:rPr>
              <w:t xml:space="preserve">。</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4.整体尺寸与承重：1）</w:t>
            </w:r>
            <w:r>
              <w:rPr>
                <w:rFonts w:hint="default" w:ascii="黑体" w:hAnsi="宋体" w:eastAsia="黑体" w:cs="黑体"/>
                <w:b w:val="0"/>
                <w:bCs w:val="0"/>
                <w:i w:val="0"/>
                <w:iCs w:val="0"/>
                <w:color w:val="000000"/>
                <w:sz w:val="18"/>
                <w:szCs w:val="18"/>
                <w:u w:val="none"/>
                <w:lang w:val="en-US" w:eastAsia="zh-CN" w:bidi="ar"/>
              </w:rPr>
              <w:t xml:space="preserve">尺寸精度：总高度 42-45cm（坐面高度，误差≤±1mm），座面厚度（全金属款≥1.0mm，软垫款≥4.0mm），凳腿间距（外沿）40×40cm-45×45cm（确保稳定性）；2</w:t>
            </w:r>
            <w:r>
              <w:rPr>
                <w:rFonts w:hint="eastAsia" w:ascii="黑体" w:hAnsi="宋体" w:eastAsia="黑体" w:cs="黑体"/>
                <w:b w:val="0"/>
                <w:bCs w:val="0"/>
                <w:i w:val="0"/>
                <w:iCs w:val="0"/>
                <w:color w:val="000000"/>
                <w:sz w:val="18"/>
                <w:szCs w:val="18"/>
                <w:u w:val="none"/>
                <w:lang w:val="en-US" w:eastAsia="zh-CN" w:bidi="ar"/>
              </w:rPr>
              <w:t xml:space="preserve">）</w:t>
            </w:r>
            <w:r>
              <w:rPr>
                <w:rFonts w:hint="default" w:ascii="黑体" w:hAnsi="宋体" w:eastAsia="黑体" w:cs="黑体"/>
                <w:b w:val="0"/>
                <w:bCs w:val="0"/>
                <w:i w:val="0"/>
                <w:iCs w:val="0"/>
                <w:color w:val="000000"/>
                <w:sz w:val="18"/>
                <w:szCs w:val="18"/>
                <w:u w:val="none"/>
                <w:lang w:val="en-US" w:eastAsia="zh-CN" w:bidi="ar"/>
              </w:rPr>
              <w:t xml:space="preserve"> 承重性能： - 静态承重≥180kg（均匀加载 24 小时，框架无变形、焊接点无开裂，座面弯曲度≤2mm）； - 动态承重≥120kg（模拟频繁坐起，循环测试 5000 次，结构无松动）； - 稳定性：倾斜 30° 无倾倒（符合 GB/T 10357.2 标准，防止侧翻）</w:t>
            </w:r>
            <w:r>
              <w:rPr>
                <w:rFonts w:hint="eastAsia" w:ascii="黑体" w:hAnsi="宋体" w:eastAsia="黑体" w:cs="黑体"/>
                <w:b w:val="0"/>
                <w:bCs w:val="0"/>
                <w:i w:val="0"/>
                <w:iCs w:val="0"/>
                <w:color w:val="000000"/>
                <w:sz w:val="18"/>
                <w:szCs w:val="18"/>
                <w:u w:val="none"/>
                <w:lang w:val="en-US" w:eastAsia="zh-CN" w:bidi="ar"/>
              </w:rPr>
              <w:t xml:space="preserve">。</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5.焊接工艺与连接：1）</w:t>
            </w:r>
            <w:r>
              <w:rPr>
                <w:rFonts w:hint="default" w:ascii="黑体" w:hAnsi="宋体" w:eastAsia="黑体" w:cs="黑体"/>
                <w:b w:val="0"/>
                <w:bCs w:val="0"/>
                <w:i w:val="0"/>
                <w:iCs w:val="0"/>
                <w:color w:val="000000"/>
                <w:sz w:val="18"/>
                <w:szCs w:val="18"/>
                <w:u w:val="none"/>
                <w:lang w:val="en-US" w:eastAsia="zh-CN" w:bidi="ar"/>
              </w:rPr>
              <w:t xml:space="preserve">焊接要求：所有框架连接处采用二氧化碳气体保护焊（焊接点平整光滑，焊脚高度≥3mm，无虚焊、漏焊、焊渣，焊接强度≥300MPa（GB/T 2651 测试））；2</w:t>
            </w:r>
            <w:r>
              <w:rPr>
                <w:rFonts w:hint="eastAsia" w:ascii="黑体" w:hAnsi="宋体" w:eastAsia="黑体" w:cs="黑体"/>
                <w:b w:val="0"/>
                <w:bCs w:val="0"/>
                <w:i w:val="0"/>
                <w:iCs w:val="0"/>
                <w:color w:val="000000"/>
                <w:sz w:val="18"/>
                <w:szCs w:val="18"/>
                <w:u w:val="none"/>
                <w:lang w:val="en-US" w:eastAsia="zh-CN" w:bidi="ar"/>
              </w:rPr>
              <w:t xml:space="preserve">）</w:t>
            </w:r>
            <w:r>
              <w:rPr>
                <w:rFonts w:hint="default" w:ascii="黑体" w:hAnsi="宋体" w:eastAsia="黑体" w:cs="黑体"/>
                <w:b w:val="0"/>
                <w:bCs w:val="0"/>
                <w:i w:val="0"/>
                <w:iCs w:val="0"/>
                <w:color w:val="000000"/>
                <w:sz w:val="18"/>
                <w:szCs w:val="18"/>
                <w:u w:val="none"/>
                <w:lang w:val="en-US" w:eastAsia="zh-CN" w:bidi="ar"/>
              </w:rPr>
              <w:t xml:space="preserve">加固处理：凳腿与座面连接处设三角形加强片（冷轧钢板，厚度≥1.0mm，与框架满焊连接，增强承重节点稳定性）；3</w:t>
            </w:r>
            <w:r>
              <w:rPr>
                <w:rFonts w:hint="eastAsia" w:ascii="黑体" w:hAnsi="宋体" w:eastAsia="黑体" w:cs="黑体"/>
                <w:b w:val="0"/>
                <w:bCs w:val="0"/>
                <w:i w:val="0"/>
                <w:iCs w:val="0"/>
                <w:color w:val="000000"/>
                <w:sz w:val="18"/>
                <w:szCs w:val="18"/>
                <w:u w:val="none"/>
                <w:lang w:val="en-US" w:eastAsia="zh-CN" w:bidi="ar"/>
              </w:rPr>
              <w:t xml:space="preserve">）</w:t>
            </w:r>
            <w:r>
              <w:rPr>
                <w:rFonts w:hint="default" w:ascii="黑体" w:hAnsi="宋体" w:eastAsia="黑体" w:cs="黑体"/>
                <w:b w:val="0"/>
                <w:bCs w:val="0"/>
                <w:i w:val="0"/>
                <w:iCs w:val="0"/>
                <w:color w:val="000000"/>
                <w:sz w:val="18"/>
                <w:szCs w:val="18"/>
                <w:u w:val="none"/>
                <w:lang w:val="en-US" w:eastAsia="zh-CN" w:bidi="ar"/>
              </w:rPr>
              <w:t xml:space="preserve">无螺丝设计：核心结构采用一体化焊接（减少可拆卸部件，避免松动丢失，仅软垫座面可选配螺丝固定（不锈钢自攻螺丝，直径≥4mm，防生锈）</w:t>
            </w:r>
            <w:r>
              <w:rPr>
                <w:rFonts w:hint="eastAsia" w:ascii="黑体" w:hAnsi="宋体" w:eastAsia="黑体" w:cs="黑体"/>
                <w:b w:val="0"/>
                <w:bCs w:val="0"/>
                <w:i w:val="0"/>
                <w:iCs w:val="0"/>
                <w:color w:val="000000"/>
                <w:sz w:val="18"/>
                <w:szCs w:val="18"/>
                <w:u w:val="none"/>
                <w:lang w:val="en-US" w:eastAsia="zh-CN" w:bidi="ar"/>
              </w:rPr>
              <w:t xml:space="preserve">。</w:t>
            </w:r>
            <w:r/>
          </w:p>
          <w:p>
            <w:pPr>
              <w:jc w:val="left"/>
              <w:keepLines w:val="0"/>
              <w:keepNext w:val="0"/>
              <w:widowControl/>
              <w:rPr>
                <w:rFonts w:hint="eastAsia" w:ascii="黑体" w:hAnsi="宋体" w:eastAsia="黑体" w:cs="黑体"/>
                <w:b w:val="0"/>
                <w:bCs w:val="0"/>
                <w:i w:val="0"/>
                <w:iCs w:val="0"/>
                <w:color w:val="000000"/>
                <w:sz w:val="18"/>
                <w:szCs w:val="18"/>
                <w:u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6.防滑与防刮设计：1）</w:t>
            </w:r>
            <w:r>
              <w:rPr>
                <w:rFonts w:hint="default" w:ascii="黑体" w:hAnsi="宋体" w:eastAsia="黑体" w:cs="黑体"/>
                <w:b w:val="0"/>
                <w:bCs w:val="0"/>
                <w:i w:val="0"/>
                <w:iCs w:val="0"/>
                <w:color w:val="000000"/>
                <w:sz w:val="18"/>
                <w:szCs w:val="18"/>
                <w:u w:val="none"/>
                <w:lang w:val="en-US" w:eastAsia="zh-CN" w:bidi="ar"/>
              </w:rPr>
              <w:t xml:space="preserve">底部防滑：凳腿底部安装橡胶防滑垫（厚度≥5mm，材质为天然橡胶，摩擦系数≥0.8（GB/T 4491 测试），适配瓷砖、水泥、木质等不同地面，防止滑动且避免刮伤地面）；2</w:t>
            </w:r>
            <w:r>
              <w:rPr>
                <w:rFonts w:hint="eastAsia" w:ascii="黑体" w:hAnsi="宋体" w:eastAsia="黑体" w:cs="黑体"/>
                <w:b w:val="0"/>
                <w:bCs w:val="0"/>
                <w:i w:val="0"/>
                <w:iCs w:val="0"/>
                <w:color w:val="000000"/>
                <w:sz w:val="18"/>
                <w:szCs w:val="18"/>
                <w:u w:val="none"/>
                <w:lang w:val="en-US" w:eastAsia="zh-CN" w:bidi="ar"/>
              </w:rPr>
              <w:t xml:space="preserve">）</w:t>
            </w:r>
            <w:r>
              <w:rPr>
                <w:rFonts w:hint="default" w:ascii="黑体" w:hAnsi="宋体" w:eastAsia="黑体" w:cs="黑体"/>
                <w:b w:val="0"/>
                <w:bCs w:val="0"/>
                <w:i w:val="0"/>
                <w:iCs w:val="0"/>
                <w:color w:val="000000"/>
                <w:sz w:val="18"/>
                <w:szCs w:val="18"/>
                <w:u w:val="none"/>
                <w:lang w:val="en-US" w:eastAsia="zh-CN" w:bidi="ar"/>
              </w:rPr>
              <w:t xml:space="preserve">边缘防护：所有金属部件切割端、焊接点均经打磨抛光（粗糙度 Ra≤0.8μm，无毛刺、锐边，防止划伤手部或衣物）；3</w:t>
            </w:r>
            <w:r>
              <w:rPr>
                <w:rFonts w:hint="eastAsia" w:ascii="黑体" w:hAnsi="宋体" w:eastAsia="黑体" w:cs="黑体"/>
                <w:b w:val="0"/>
                <w:bCs w:val="0"/>
                <w:i w:val="0"/>
                <w:iCs w:val="0"/>
                <w:color w:val="000000"/>
                <w:sz w:val="18"/>
                <w:szCs w:val="18"/>
                <w:u w:val="none"/>
                <w:lang w:val="en-US" w:eastAsia="zh-CN" w:bidi="ar"/>
              </w:rPr>
              <w:t xml:space="preserve">）</w:t>
            </w:r>
            <w:r>
              <w:rPr>
                <w:rFonts w:hint="default" w:ascii="黑体" w:hAnsi="宋体" w:eastAsia="黑体" w:cs="黑体"/>
                <w:b w:val="0"/>
                <w:bCs w:val="0"/>
                <w:i w:val="0"/>
                <w:iCs w:val="0"/>
                <w:color w:val="000000"/>
                <w:sz w:val="18"/>
                <w:szCs w:val="18"/>
                <w:u w:val="none"/>
                <w:lang w:val="en-US" w:eastAsia="zh-CN" w:bidi="ar"/>
              </w:rPr>
              <w:t xml:space="preserve">座面防硌：软垫座面边缘采用包边工艺（包边条为 PVC 材质，厚度≥2mm，粘结强度≥1.5N/mm，无硌腿感）</w:t>
            </w:r>
            <w:r>
              <w:rPr>
                <w:rFonts w:hint="eastAsia" w:ascii="黑体" w:hAnsi="宋体" w:eastAsia="黑体" w:cs="黑体"/>
                <w:b w:val="0"/>
                <w:bCs w:val="0"/>
                <w:i w:val="0"/>
                <w:iCs w:val="0"/>
                <w:color w:val="000000"/>
                <w:sz w:val="18"/>
                <w:szCs w:val="18"/>
                <w:u w:val="none"/>
                <w:lang w:val="en-US" w:eastAsia="zh-CN" w:bidi="ar"/>
              </w:rPr>
              <w:t xml:space="preserve">。</w:t>
            </w:r>
            <w:r/>
          </w:p>
          <w:p>
            <w:pPr>
              <w:jc w:val="left"/>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7.清洁与耐用细节：1）</w:t>
            </w:r>
            <w:r>
              <w:rPr>
                <w:rFonts w:hint="default" w:ascii="黑体" w:hAnsi="宋体" w:eastAsia="黑体" w:cs="黑体"/>
                <w:b w:val="0"/>
                <w:bCs w:val="0"/>
                <w:i w:val="0"/>
                <w:iCs w:val="0"/>
                <w:color w:val="000000"/>
                <w:sz w:val="18"/>
                <w:szCs w:val="18"/>
                <w:u w:val="none"/>
                <w:lang w:val="en-US" w:eastAsia="zh-CN" w:bidi="ar"/>
              </w:rPr>
              <w:t xml:space="preserve">易清洁性：全金属款表面光滑无凹槽（无灰尘堆积死角，沾染油污后可用湿布 + 中性清洁剂擦拭，无残留）；软垫款面料防水防污（防水等级 IPX4，泼洒茶水后 30 分钟内擦拭无渗透，可拆洗面料水洗后无褪色、无缩水（缩水率≤2%））；2</w:t>
            </w:r>
            <w:r>
              <w:rPr>
                <w:rFonts w:hint="eastAsia" w:ascii="黑体" w:hAnsi="宋体" w:eastAsia="黑体" w:cs="黑体"/>
                <w:b w:val="0"/>
                <w:bCs w:val="0"/>
                <w:i w:val="0"/>
                <w:iCs w:val="0"/>
                <w:color w:val="000000"/>
                <w:sz w:val="18"/>
                <w:szCs w:val="18"/>
                <w:u w:val="none"/>
                <w:lang w:val="en-US" w:eastAsia="zh-CN" w:bidi="ar"/>
              </w:rPr>
              <w:t xml:space="preserve">）</w:t>
            </w:r>
            <w:r>
              <w:rPr>
                <w:rFonts w:hint="default" w:ascii="黑体" w:hAnsi="宋体" w:eastAsia="黑体" w:cs="黑体"/>
                <w:b w:val="0"/>
                <w:bCs w:val="0"/>
                <w:i w:val="0"/>
                <w:iCs w:val="0"/>
                <w:color w:val="000000"/>
                <w:sz w:val="18"/>
                <w:szCs w:val="18"/>
                <w:u w:val="none"/>
                <w:lang w:val="en-US" w:eastAsia="zh-CN" w:bidi="ar"/>
              </w:rPr>
              <w:t xml:space="preserve"> 耐用性：涂层耐冲击测试（1kg 钢球从 30cm 高度落下，涂层无脱落、无划痕），耐候性测试（模拟日晒雨淋 600 小时，涂层无变色、无锈蚀）</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95300"/>
                      <wp:effectExtent l="0" t="0" r="9525" b="7620"/>
                      <wp:docPr id="83" name="图片 87" descr="IMG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7" descr="IMG_342"/>
                              <pic:cNvPicPr>
                                <a:picLocks noChangeAspect="1"/>
                              </pic:cNvPicPr>
                              <pic:nvPr/>
                            </pic:nvPicPr>
                            <pic:blipFill>
                              <a:blip r:embed="rId89"/>
                              <a:stretch/>
                            </pic:blipFill>
                            <pic:spPr bwMode="auto">
                              <a:xfrm>
                                <a:off x="0" y="0"/>
                                <a:ext cx="52387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1.2pt;height:39.0pt;mso-wrap-distance-left:0.0pt;mso-wrap-distance-top:0.0pt;mso-wrap-distance-right:0.0pt;mso-wrap-distance-bottom:0.0pt;" stroked="f" strokeweight="0.75pt">
                      <v:path textboxrect="0,0,0,0"/>
                      <v:imagedata r:id="rId89"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学习桌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Style w:val="868"/>
                <w:rFonts w:hAnsi="宋体"/>
                <w:b w:val="0"/>
                <w:bCs w:val="0"/>
                <w:sz w:val="18"/>
                <w:szCs w:val="18"/>
                <w:highlight w:val="none"/>
                <w:lang w:val="en-US" w:eastAsia="zh-CN" w:bidi="ar"/>
              </w:rPr>
              <w:suppressLineNumbers w:val="0"/>
            </w:pPr>
            <w:r>
              <w:rPr>
                <w:rFonts w:hint="eastAsia" w:ascii="黑体" w:hAnsi="宋体" w:eastAsia="黑体" w:cs="黑体"/>
                <w:b w:val="0"/>
                <w:bCs w:val="0"/>
                <w:i w:val="0"/>
                <w:iCs w:val="0"/>
                <w:color w:val="000000"/>
                <w:sz w:val="18"/>
                <w:szCs w:val="18"/>
                <w:u w:val="none"/>
                <w:lang w:val="en-US" w:eastAsia="zh-CN" w:bidi="ar"/>
              </w:rPr>
              <w:t xml:space="preserve">1.折叠 120*40*75cm（米黄色） </w:t>
            </w:r>
            <w:r>
              <w:rPr>
                <w:rStyle w:val="868"/>
                <w:rFonts w:hAnsi="宋体"/>
                <w:b w:val="0"/>
                <w:bCs w:val="0"/>
                <w:sz w:val="18"/>
                <w:szCs w:val="18"/>
                <w:highlight w:val="none"/>
                <w:lang w:val="en-US" w:eastAsia="zh-CN" w:bidi="ar"/>
              </w:rPr>
              <w:t xml:space="preserve">适配基地单人宿舍、临时学习区，120×40cm 桌面满足书籍、笔记本电脑（15.6 英寸）同时摆放，75cm 桌高符合人体工学（坐姿学习时手臂自然施力）；折叠后厚度≤15cm（便于靠墙收纳，节省宿舍空间），米黄色涂层（哑光质感，色号参考潘通 12-0715TPX，避免强光反射影响学习，适配基地宿舍温馨氛围）。</w:t>
            </w:r>
            <w:r/>
          </w:p>
          <w:p>
            <w:pPr>
              <w:jc w:val="left"/>
              <w:keepLines w:val="0"/>
              <w:keepNext w:val="0"/>
              <w:widowControl/>
              <w:rPr>
                <w:rStyle w:val="868"/>
                <w:rFonts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2.</w:t>
            </w:r>
            <w:r>
              <w:rPr>
                <w:rStyle w:val="868"/>
                <w:rFonts w:hAnsi="宋体"/>
                <w:b w:val="0"/>
                <w:bCs w:val="0"/>
                <w:sz w:val="18"/>
                <w:szCs w:val="18"/>
                <w:highlight w:val="none"/>
                <w:lang w:val="en-US" w:eastAsia="zh-CN" w:bidi="ar"/>
              </w:rPr>
              <w:t xml:space="preserve">桌面材质选择</w:t>
            </w:r>
            <w:r>
              <w:rPr>
                <w:rStyle w:val="868"/>
                <w:rFonts w:hint="eastAsia" w:hAnsi="宋体"/>
                <w:b w:val="0"/>
                <w:bCs w:val="0"/>
                <w:sz w:val="18"/>
                <w:szCs w:val="18"/>
                <w:highlight w:val="none"/>
                <w:lang w:val="en-US" w:eastAsia="zh-CN" w:bidi="ar"/>
              </w:rPr>
              <w:t xml:space="preserve">：</w:t>
            </w:r>
            <w:r>
              <w:rPr>
                <w:rStyle w:val="868"/>
                <w:rFonts w:hAnsi="宋体"/>
                <w:b w:val="0"/>
                <w:bCs w:val="0"/>
                <w:sz w:val="18"/>
                <w:szCs w:val="18"/>
                <w:highlight w:val="none"/>
                <w:lang w:val="en-US" w:eastAsia="zh-CN" w:bidi="ar"/>
              </w:rPr>
              <w:t xml:space="preserve">1） </w:t>
            </w:r>
            <w:r>
              <w:rPr>
                <w:rStyle w:val="868"/>
                <w:rFonts w:hint="default" w:hAnsi="宋体"/>
                <w:b w:val="0"/>
                <w:bCs w:val="0"/>
                <w:sz w:val="18"/>
                <w:szCs w:val="18"/>
                <w:highlight w:val="none"/>
                <w:lang w:val="en-US" w:eastAsia="zh-CN" w:bidi="ar"/>
              </w:rPr>
              <w:t xml:space="preserve">桌面基</w:t>
            </w:r>
            <w:r>
              <w:rPr>
                <w:rStyle w:val="868"/>
                <w:rFonts w:hint="default" w:hAnsi="宋体"/>
                <w:b w:val="0"/>
                <w:bCs w:val="0"/>
                <w:sz w:val="18"/>
                <w:szCs w:val="18"/>
                <w:highlight w:val="none"/>
                <w:lang w:val="en-US" w:eastAsia="zh-CN" w:bidi="ar"/>
              </w:rPr>
              <w:t xml:space="preserve">材（二选一）： - 选项 1（实木复合板）：多层实木板（基材杨木 / 松木，含水率 8%-12%，无节疤裂纹），表面贴三聚氰胺浸渍纸（米黄色哑光，色牢度≥4 级（水洗、日晒后无褪色），耐磨转数≥600 转（GB/T 4802.2），防墨水渗透），厚度≥18mm（保证承重防变形）； - 选项 2（环保密度板）：E0 级密度板（甲醛释放量≤0.05mg/m³），表面覆 PVC 膜（米黄色，厚度≥0.3mm，附着力等级 1 级（GB/T 9286），防刮擦（硬度≥2H）、防水（IPX4 级）），厚度≥20mm；2</w:t>
            </w:r>
            <w:r>
              <w:rPr>
                <w:rStyle w:val="868"/>
                <w:rFonts w:hint="eastAsia" w:hAnsi="宋体"/>
                <w:b w:val="0"/>
                <w:bCs w:val="0"/>
                <w:sz w:val="18"/>
                <w:szCs w:val="18"/>
                <w:highlight w:val="none"/>
                <w:lang w:val="en-US" w:eastAsia="zh-CN" w:bidi="ar"/>
              </w:rPr>
              <w:t xml:space="preserve">）</w:t>
            </w:r>
            <w:r>
              <w:rPr>
                <w:rStyle w:val="868"/>
                <w:rFonts w:hint="default" w:hAnsi="宋体"/>
                <w:b w:val="0"/>
                <w:bCs w:val="0"/>
                <w:sz w:val="18"/>
                <w:szCs w:val="18"/>
                <w:highlight w:val="none"/>
                <w:lang w:val="en-US" w:eastAsia="zh-CN" w:bidi="ar"/>
              </w:rPr>
              <w:t xml:space="preserve"> 封边处理：桌面四周 2mm 厚 PVC 封边条（与桌面同色，热压贴合，粘结强度≥1.5N/mm，无翘边、脱层，边缘倒圆处理（半径≥3mm，防硌手）</w:t>
            </w:r>
            <w:r>
              <w:rPr>
                <w:rStyle w:val="868"/>
                <w:rFonts w:hint="eastAsia" w:hAnsi="宋体"/>
                <w:b w:val="0"/>
                <w:bCs w:val="0"/>
                <w:sz w:val="18"/>
                <w:szCs w:val="18"/>
                <w:highlight w:val="none"/>
                <w:lang w:val="en-US" w:eastAsia="zh-CN" w:bidi="ar"/>
              </w:rPr>
              <w:t xml:space="preserve">。</w:t>
            </w:r>
            <w:r/>
          </w:p>
          <w:p>
            <w:pPr>
              <w:jc w:val="left"/>
              <w:keepLines w:val="0"/>
              <w:keepNext w:val="0"/>
              <w:widowControl/>
              <w:rPr>
                <w:rStyle w:val="868"/>
                <w:rFonts w:hint="default" w:hAnsi="宋体"/>
                <w:b w:val="0"/>
                <w:bCs w:val="0"/>
                <w:sz w:val="18"/>
                <w:szCs w:val="18"/>
                <w:highlight w:val="none"/>
                <w:lang w:val="en-US" w:eastAsia="zh-CN" w:bidi="ar"/>
              </w:rPr>
              <w:suppressLineNumbers w:val="0"/>
            </w:pPr>
            <w:r>
              <w:rPr>
                <w:rStyle w:val="868"/>
                <w:rFonts w:hint="eastAsia" w:hAnsi="宋体"/>
                <w:b w:val="0"/>
                <w:bCs w:val="0"/>
                <w:sz w:val="18"/>
                <w:szCs w:val="18"/>
                <w:highlight w:val="none"/>
                <w:lang w:val="en-US" w:eastAsia="zh-CN" w:bidi="ar"/>
              </w:rPr>
              <w:t xml:space="preserve">3.</w:t>
            </w:r>
            <w:r>
              <w:rPr>
                <w:rStyle w:val="868"/>
                <w:rFonts w:hAnsi="宋体"/>
                <w:b w:val="0"/>
                <w:bCs w:val="0"/>
                <w:sz w:val="18"/>
                <w:szCs w:val="18"/>
                <w:highlight w:val="none"/>
                <w:lang w:val="en-US" w:eastAsia="zh-CN" w:bidi="ar"/>
              </w:rPr>
              <w:t xml:space="preserve">折叠框架材质</w:t>
            </w:r>
            <w:r>
              <w:rPr>
                <w:rStyle w:val="868"/>
                <w:rFonts w:hint="eastAsia" w:hAnsi="宋体"/>
                <w:b w:val="0"/>
                <w:bCs w:val="0"/>
                <w:sz w:val="18"/>
                <w:szCs w:val="18"/>
                <w:highlight w:val="none"/>
                <w:lang w:val="en-US" w:eastAsia="zh-CN" w:bidi="ar"/>
              </w:rPr>
              <w:t xml:space="preserve">：1)</w:t>
            </w:r>
            <w:r>
              <w:rPr>
                <w:rStyle w:val="868"/>
                <w:rFonts w:hint="default" w:hAnsi="宋体"/>
                <w:b w:val="0"/>
                <w:bCs w:val="0"/>
                <w:sz w:val="18"/>
                <w:szCs w:val="18"/>
                <w:highlight w:val="none"/>
                <w:lang w:val="en-US" w:eastAsia="zh-CN" w:bidi="ar"/>
              </w:rPr>
              <w:t xml:space="preserve">框架管材：冷轧钢管（材质 Q235，符合 GB/T 3091，主框架截面 25×25mm，壁厚≥1.2mm；支撑腿截面 20×20mm，壁厚≥1.0mm），表面米黄色静电喷塑（粉末为环氧聚酯型，厚度≥60μm，附着力等级 1 级，耐盐雾测试≥48 小时（GB/T 10125），防生锈）；2</w:t>
            </w:r>
            <w:r>
              <w:rPr>
                <w:rStyle w:val="868"/>
                <w:rFonts w:hint="eastAsia" w:hAnsi="宋体"/>
                <w:b w:val="0"/>
                <w:bCs w:val="0"/>
                <w:sz w:val="18"/>
                <w:szCs w:val="18"/>
                <w:highlight w:val="none"/>
                <w:lang w:val="en-US" w:eastAsia="zh-CN" w:bidi="ar"/>
              </w:rPr>
              <w:t xml:space="preserve">)</w:t>
            </w:r>
            <w:r>
              <w:rPr>
                <w:rStyle w:val="868"/>
                <w:rFonts w:hint="default" w:hAnsi="宋体"/>
                <w:b w:val="0"/>
                <w:bCs w:val="0"/>
                <w:sz w:val="18"/>
                <w:szCs w:val="18"/>
                <w:highlight w:val="none"/>
                <w:lang w:val="en-US" w:eastAsia="zh-CN" w:bidi="ar"/>
              </w:rPr>
              <w:t xml:space="preserve">折叠连接件：304 不锈钢合页（厚度≥3mm，开合次数≥10000 次无卡顿，轴承式设计，开合噪音≤40dB），配套不锈钢防松螺丝（直径≥6mm，防锈等级 SUS304，避免电化学腐蚀）</w:t>
            </w:r>
            <w:r>
              <w:rPr>
                <w:rStyle w:val="868"/>
                <w:rFonts w:hint="eastAsia" w:hAnsi="宋体"/>
                <w:b w:val="0"/>
                <w:bCs w:val="0"/>
                <w:sz w:val="18"/>
                <w:szCs w:val="18"/>
                <w:highlight w:val="none"/>
                <w:lang w:val="en-US" w:eastAsia="zh-CN" w:bidi="ar"/>
              </w:rPr>
              <w:t xml:space="preserve">。</w:t>
            </w:r>
            <w:r/>
          </w:p>
          <w:p>
            <w:pPr>
              <w:jc w:val="left"/>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Style w:val="868"/>
                <w:rFonts w:hint="eastAsia" w:hAnsi="宋体"/>
                <w:b w:val="0"/>
                <w:bCs w:val="0"/>
                <w:sz w:val="18"/>
                <w:szCs w:val="18"/>
                <w:highlight w:val="none"/>
                <w:lang w:val="en-US" w:eastAsia="zh-CN" w:bidi="ar"/>
              </w:rPr>
              <w:t xml:space="preserve">4.</w:t>
            </w:r>
            <w:r>
              <w:rPr>
                <w:rStyle w:val="868"/>
                <w:rFonts w:hint="default" w:hAnsi="宋体"/>
                <w:b w:val="0"/>
                <w:bCs w:val="0"/>
                <w:sz w:val="18"/>
                <w:szCs w:val="18"/>
                <w:highlight w:val="none"/>
                <w:lang w:val="en-US" w:eastAsia="zh-CN" w:bidi="ar"/>
              </w:rPr>
              <w:t xml:space="preserve">桌面承重：</w:t>
            </w:r>
            <w:r>
              <w:rPr>
                <w:rStyle w:val="868"/>
                <w:rFonts w:hint="eastAsia" w:hAnsi="宋体"/>
                <w:b w:val="0"/>
                <w:bCs w:val="0"/>
                <w:sz w:val="18"/>
                <w:szCs w:val="18"/>
                <w:highlight w:val="none"/>
                <w:lang w:val="en-US" w:eastAsia="zh-CN" w:bidi="ar"/>
              </w:rPr>
              <w:t xml:space="preserve">1）</w:t>
            </w:r>
            <w:r>
              <w:rPr>
                <w:rStyle w:val="868"/>
                <w:rFonts w:hint="default" w:hAnsi="宋体"/>
                <w:b w:val="0"/>
                <w:bCs w:val="0"/>
                <w:sz w:val="18"/>
                <w:szCs w:val="18"/>
                <w:highlight w:val="none"/>
                <w:lang w:val="en-US" w:eastAsia="zh-CN" w:bidi="ar"/>
              </w:rPr>
              <w:t xml:space="preserve">均匀承重≥50kg（放置书籍、电脑等，24 小时无弯曲（弯曲度≤2mm/120cm）、桌面无开裂）；2</w:t>
            </w:r>
            <w:r>
              <w:rPr>
                <w:rStyle w:val="868"/>
                <w:rFonts w:hint="eastAsia" w:hAnsi="宋体"/>
                <w:b w:val="0"/>
                <w:bCs w:val="0"/>
                <w:sz w:val="18"/>
                <w:szCs w:val="18"/>
                <w:highlight w:val="none"/>
                <w:lang w:val="en-US" w:eastAsia="zh-CN" w:bidi="ar"/>
              </w:rPr>
              <w:t xml:space="preserve">）</w:t>
            </w:r>
            <w:r>
              <w:rPr>
                <w:rStyle w:val="868"/>
                <w:rFonts w:hint="default" w:hAnsi="宋体"/>
                <w:b w:val="0"/>
                <w:bCs w:val="0"/>
                <w:sz w:val="18"/>
                <w:szCs w:val="18"/>
                <w:highlight w:val="none"/>
                <w:lang w:val="en-US" w:eastAsia="zh-CN" w:bidi="ar"/>
              </w:rPr>
              <w:t xml:space="preserve">单点承重：桌面中心施加 20kg 力（模拟按压学习，无局部凹陷）；3</w:t>
            </w:r>
            <w:r>
              <w:rPr>
                <w:rStyle w:val="868"/>
                <w:rFonts w:hint="eastAsia" w:hAnsi="宋体"/>
                <w:b w:val="0"/>
                <w:bCs w:val="0"/>
                <w:sz w:val="18"/>
                <w:szCs w:val="18"/>
                <w:highlight w:val="none"/>
                <w:lang w:val="en-US" w:eastAsia="zh-CN" w:bidi="ar"/>
              </w:rPr>
              <w:t xml:space="preserve">）</w:t>
            </w:r>
            <w:r>
              <w:rPr>
                <w:rStyle w:val="868"/>
                <w:rFonts w:hint="default" w:hAnsi="宋体"/>
                <w:b w:val="0"/>
                <w:bCs w:val="0"/>
                <w:sz w:val="18"/>
                <w:szCs w:val="18"/>
                <w:highlight w:val="none"/>
                <w:lang w:val="en-US" w:eastAsia="zh-CN" w:bidi="ar"/>
              </w:rPr>
              <w:t xml:space="preserve"> 展开稳固性：支撑腿底部设三角加强结构（与框架焊接，增强抗倾覆能力），倾斜 15° 无倾倒（符合 GB/T 10357.2）；4</w:t>
            </w:r>
            <w:r>
              <w:rPr>
                <w:rStyle w:val="868"/>
                <w:rFonts w:hint="eastAsia" w:hAnsi="宋体"/>
                <w:b w:val="0"/>
                <w:bCs w:val="0"/>
                <w:sz w:val="18"/>
                <w:szCs w:val="18"/>
                <w:highlight w:val="none"/>
                <w:lang w:val="en-US" w:eastAsia="zh-CN" w:bidi="ar"/>
              </w:rPr>
              <w:t xml:space="preserve">）</w:t>
            </w:r>
            <w:r>
              <w:rPr>
                <w:rStyle w:val="868"/>
                <w:rFonts w:hint="default" w:hAnsi="宋体"/>
                <w:b w:val="0"/>
                <w:bCs w:val="0"/>
                <w:sz w:val="18"/>
                <w:szCs w:val="18"/>
                <w:highlight w:val="none"/>
                <w:lang w:val="en-US" w:eastAsia="zh-CN" w:bidi="ar"/>
              </w:rPr>
              <w:t xml:space="preserve">折叠顺畅性：折叠过程阻力≤15N（单人可轻松操作），无卡顿、异响，合页处定期润滑（出厂预装锂基润滑脂，确保长期顺畅）</w:t>
            </w:r>
            <w:r>
              <w:rPr>
                <w:rStyle w:val="868"/>
                <w:rFonts w:hint="eastAsia" w:hAnsi="宋体"/>
                <w:b w:val="0"/>
                <w:bCs w:val="0"/>
                <w:sz w:val="18"/>
                <w:szCs w:val="18"/>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52450"/>
                      <wp:effectExtent l="0" t="0" r="9525" b="11430"/>
                      <wp:docPr id="84" name="图片 88" descr="IMG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88" descr="IMG_343"/>
                              <pic:cNvPicPr>
                                <a:picLocks noChangeAspect="1"/>
                              </pic:cNvPicPr>
                              <pic:nvPr/>
                            </pic:nvPicPr>
                            <pic:blipFill>
                              <a:blip r:embed="rId90"/>
                              <a:stretch/>
                            </pic:blipFill>
                            <pic:spPr bwMode="auto">
                              <a:xfrm>
                                <a:off x="0" y="0"/>
                                <a:ext cx="5238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41.2pt;height:43.5pt;mso-wrap-distance-left:0.0pt;mso-wrap-distance-top:0.0pt;mso-wrap-distance-right:0.0pt;mso-wrap-distance-bottom:0.0pt;" stroked="f" strokeweight="0.75pt">
                      <v:path textboxrect="0,0,0,0"/>
                      <v:imagedata r:id="rId90"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highlight w:val="none"/>
                <w:u w:val="none"/>
                <w:lang w:val="en-US" w:eastAsia="zh-CN"/>
              </w:rPr>
              <w:suppressLineNumbers w:val="0"/>
            </w:pPr>
            <w:r>
              <w:rPr>
                <w:rFonts w:hint="eastAsia" w:ascii="黑体" w:hAnsi="宋体" w:eastAsia="黑体" w:cs="黑体"/>
                <w:b w:val="0"/>
                <w:bCs w:val="0"/>
                <w:i w:val="0"/>
                <w:iCs w:val="0"/>
                <w:color w:val="000000"/>
                <w:sz w:val="18"/>
                <w:szCs w:val="18"/>
                <w:highlight w:val="none"/>
                <w:u w:val="none"/>
                <w:lang w:val="en-US" w:eastAsia="zh-CN"/>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rPr>
                <w:rFonts w:hint="eastAsia" w:ascii="黑体" w:hAnsi="宋体" w:eastAsia="黑体" w:cs="黑体"/>
                <w:b w:val="0"/>
                <w:bCs w:val="0"/>
                <w:i w:val="0"/>
                <w:iCs w:val="0"/>
                <w:color w:val="000000"/>
                <w:sz w:val="18"/>
                <w:szCs w:val="18"/>
                <w:highlight w:val="none"/>
                <w:u w:val="none"/>
                <w:lang w:val="en-US" w:eastAsia="zh-CN"/>
              </w:rPr>
            </w:pPr>
            <w:r>
              <w:rPr>
                <w:rFonts w:hint="eastAsia" w:ascii="黑体" w:hAnsi="宋体" w:eastAsia="黑体" w:cs="黑体"/>
                <w:b w:val="0"/>
                <w:bCs w:val="0"/>
                <w:i w:val="0"/>
                <w:iCs w:val="0"/>
                <w:color w:val="000000"/>
                <w:sz w:val="18"/>
                <w:szCs w:val="18"/>
                <w:highlight w:val="none"/>
                <w:u w:val="none"/>
                <w:lang w:val="en-US" w:eastAsia="zh-CN"/>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Style w:val="868"/>
                <w:rFonts w:hint="eastAsia"/>
                <w:b w:val="0"/>
                <w:bCs w:val="0"/>
                <w:sz w:val="18"/>
                <w:szCs w:val="18"/>
                <w:highlight w:val="none"/>
                <w:lang w:val="en-US" w:eastAsia="zh-CN" w:bidi="ar"/>
              </w:rPr>
              <w:t xml:space="preserve">1.</w:t>
            </w:r>
            <w:r>
              <w:rPr>
                <w:rStyle w:val="868"/>
                <w:b w:val="0"/>
                <w:bCs w:val="0"/>
                <w:sz w:val="18"/>
                <w:szCs w:val="18"/>
                <w:highlight w:val="none"/>
                <w:lang w:val="en-US" w:eastAsia="zh-CN" w:bidi="ar"/>
              </w:rPr>
              <w:t xml:space="preserve">餐桌尺寸：圆形餐桌直径提供多种规格选择1.6 米，误差范围控制在 ±10mm 以内，桌面高度为 750±10mm，适配多数成年人就座用餐高度 。</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2.</w:t>
            </w:r>
            <w:r>
              <w:rPr>
                <w:rStyle w:val="868"/>
                <w:b w:val="0"/>
                <w:bCs w:val="0"/>
                <w:sz w:val="18"/>
                <w:szCs w:val="18"/>
                <w:highlight w:val="none"/>
                <w:lang w:val="en-US" w:eastAsia="zh-CN" w:bidi="ar"/>
              </w:rPr>
              <w:t xml:space="preserve">转盘尺寸：电动转盘直径比餐桌直径小 150 - 200mm，确保转盘与餐桌边缘留有合适空间放置餐具，转盘高度与餐桌桌面适配，运行时不影响用餐空间。</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3.</w:t>
            </w:r>
            <w:r>
              <w:rPr>
                <w:rStyle w:val="868"/>
                <w:b w:val="0"/>
                <w:bCs w:val="0"/>
                <w:sz w:val="18"/>
                <w:szCs w:val="18"/>
                <w:highlight w:val="none"/>
                <w:lang w:val="en-US" w:eastAsia="zh-CN" w:bidi="ar"/>
              </w:rPr>
              <w:t xml:space="preserve">座椅配置：根据餐桌尺寸搭配对应数量座椅，座椅高度为 450±10mm，座面深度 400 - 450mm，宽度 450 - 500mm，保证舒适的就座体验。</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4.</w:t>
            </w:r>
            <w:r>
              <w:rPr>
                <w:rStyle w:val="868"/>
                <w:b w:val="0"/>
                <w:bCs w:val="0"/>
                <w:sz w:val="18"/>
                <w:szCs w:val="18"/>
                <w:highlight w:val="none"/>
                <w:lang w:val="en-US" w:eastAsia="zh-CN" w:bidi="ar"/>
              </w:rPr>
              <w:t xml:space="preserve">采用优质实木材质，如橡木、胡桃木、白蜡木等，木材需经过严格的干燥处理，含水率控制在 8% - 12%，防止后期使用出现变形、开裂问题。木材纹理清晰自然，无虫蛀、腐朽等缺陷，材质硬度符合国家相关标准，确保坚固耐用。</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5.</w:t>
            </w:r>
            <w:r>
              <w:rPr>
                <w:rStyle w:val="868"/>
                <w:b w:val="0"/>
                <w:bCs w:val="0"/>
                <w:sz w:val="18"/>
                <w:szCs w:val="18"/>
                <w:highlight w:val="none"/>
                <w:lang w:val="en-US" w:eastAsia="zh-CN" w:bidi="ar"/>
              </w:rPr>
              <w:t xml:space="preserve">餐桌腿部、座椅框架等承重部位的木材厚度不低于 30mm，保证足够的承重能力，餐桌整体承重不低于 200kg，单把座椅承重不低于 150kg。</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6.</w:t>
            </w:r>
            <w:r>
              <w:rPr>
                <w:rStyle w:val="868"/>
                <w:b w:val="0"/>
                <w:bCs w:val="0"/>
                <w:sz w:val="18"/>
                <w:szCs w:val="18"/>
                <w:highlight w:val="none"/>
                <w:lang w:val="en-US" w:eastAsia="zh-CN" w:bidi="ar"/>
              </w:rPr>
              <w:t xml:space="preserve">餐桌桌面采用整块实木拼接或指接工艺制作，拼接处紧密无缝，表面光滑平整。可进行防刮、防污、防水处理，如涂覆环保清漆或木蜡油，涂层均匀，无流挂、气泡等现象，既能凸显木材天然纹理，又便于日常清洁维护。</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7.</w:t>
            </w:r>
            <w:r>
              <w:rPr>
                <w:rStyle w:val="868"/>
                <w:b w:val="0"/>
                <w:bCs w:val="0"/>
                <w:sz w:val="18"/>
                <w:szCs w:val="18"/>
                <w:highlight w:val="none"/>
                <w:lang w:val="en-US" w:eastAsia="zh-CN" w:bidi="ar"/>
              </w:rPr>
              <w:t xml:space="preserve">座椅座面可采用实木或搭配高密度海绵与优质面料。若为实木座面，需进行圆润边角处理，表面光滑；若添加海绵与面料，海绵密度不低于 35kg/m</w:t>
            </w:r>
            <w:r>
              <w:rPr>
                <w:rStyle w:val="863"/>
                <w:b w:val="0"/>
                <w:bCs w:val="0"/>
                <w:sz w:val="18"/>
                <w:szCs w:val="18"/>
                <w:highlight w:val="none"/>
                <w:lang w:val="en-US" w:eastAsia="zh-CN" w:bidi="ar"/>
              </w:rPr>
              <w:t xml:space="preserve">³</w:t>
            </w:r>
            <w:r>
              <w:rPr>
                <w:rStyle w:val="868"/>
                <w:b w:val="0"/>
                <w:bCs w:val="0"/>
                <w:sz w:val="18"/>
                <w:szCs w:val="18"/>
                <w:highlight w:val="none"/>
                <w:lang w:val="en-US" w:eastAsia="zh-CN" w:bidi="ar"/>
              </w:rPr>
              <w:t xml:space="preserve">，回弹性能良好，面料选用耐磨、易清洁的布料或皮革，克重不低于 300g/m</w:t>
            </w:r>
            <w:r>
              <w:rPr>
                <w:rStyle w:val="863"/>
                <w:b w:val="0"/>
                <w:bCs w:val="0"/>
                <w:sz w:val="18"/>
                <w:szCs w:val="18"/>
                <w:highlight w:val="none"/>
                <w:lang w:val="en-US" w:eastAsia="zh-CN" w:bidi="ar"/>
              </w:rPr>
              <w:t xml:space="preserve">²</w:t>
            </w:r>
            <w:r>
              <w:rPr>
                <w:rStyle w:val="868"/>
                <w:b w:val="0"/>
                <w:bCs w:val="0"/>
                <w:sz w:val="18"/>
                <w:szCs w:val="18"/>
                <w:highlight w:val="none"/>
                <w:lang w:val="en-US" w:eastAsia="zh-CN" w:bidi="ar"/>
              </w:rPr>
              <w:t xml:space="preserve">，皮革需为</w:t>
            </w:r>
            <w:r>
              <w:rPr>
                <w:rStyle w:val="868"/>
                <w:rFonts w:hint="eastAsia"/>
                <w:b w:val="0"/>
                <w:bCs w:val="0"/>
                <w:sz w:val="18"/>
                <w:szCs w:val="18"/>
                <w:highlight w:val="none"/>
                <w:lang w:val="en-US" w:eastAsia="zh-CN" w:bidi="ar"/>
              </w:rPr>
              <w:t xml:space="preserve">优质西</w:t>
            </w:r>
            <w:r>
              <w:rPr>
                <w:rStyle w:val="868"/>
                <w:b w:val="0"/>
                <w:bCs w:val="0"/>
                <w:sz w:val="18"/>
                <w:szCs w:val="18"/>
                <w:highlight w:val="none"/>
                <w:lang w:val="en-US" w:eastAsia="zh-CN" w:bidi="ar"/>
              </w:rPr>
              <w:t xml:space="preserve">皮，具有良好的透气性和耐用性。</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8.</w:t>
            </w:r>
            <w:r>
              <w:rPr>
                <w:rStyle w:val="868"/>
                <w:b w:val="0"/>
                <w:bCs w:val="0"/>
                <w:sz w:val="18"/>
                <w:szCs w:val="18"/>
                <w:highlight w:val="none"/>
                <w:lang w:val="en-US" w:eastAsia="zh-CN" w:bidi="ar"/>
              </w:rPr>
              <w:t xml:space="preserve">转盘底座采用高强度合金或优质工程塑料，结构稳固，能平稳承载转盘及放置物品的重量，运行时无晃动。</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9.</w:t>
            </w:r>
            <w:r>
              <w:rPr>
                <w:rStyle w:val="868"/>
                <w:b w:val="0"/>
                <w:bCs w:val="0"/>
                <w:sz w:val="18"/>
                <w:szCs w:val="18"/>
                <w:highlight w:val="none"/>
                <w:lang w:val="en-US" w:eastAsia="zh-CN" w:bidi="ar"/>
              </w:rPr>
              <w:t xml:space="preserve">转盘表面材质与餐桌桌面材质相匹配，保证整体美观协调，也可采用钢化玻璃材质，厚度不低于 8mm，表面平整，无划痕、气泡，具备良好的耐磨性和抗冲击性。</w:t>
            </w:r>
            <w:r>
              <w:rPr>
                <w:rStyle w:val="869"/>
                <w:rFonts w:eastAsia="黑体"/>
                <w:b w:val="0"/>
                <w:bCs w:val="0"/>
                <w:sz w:val="18"/>
                <w:szCs w:val="18"/>
                <w:highlight w:val="none"/>
                <w:lang w:val="en-US" w:eastAsia="zh-CN" w:bidi="ar"/>
              </w:rPr>
              <w:t xml:space="preserve">​</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10.</w:t>
            </w:r>
            <w:r>
              <w:rPr>
                <w:rStyle w:val="868"/>
                <w:b w:val="0"/>
                <w:bCs w:val="0"/>
                <w:sz w:val="18"/>
                <w:szCs w:val="18"/>
                <w:highlight w:val="none"/>
                <w:lang w:val="en-US" w:eastAsia="zh-CN" w:bidi="ar"/>
              </w:rPr>
              <w:t xml:space="preserve">电动转盘采用静音电机驱动，运行噪音不超过 35 分贝，确保用餐环境安静。电机功率适配转盘尺寸和承重，运行稳定，无卡顿、打滑现象，转盘转速可调节，范围为 0.5 - 2 转 / 分钟，满足不同用餐需求。</w:t>
            </w:r>
            <w:r>
              <w:rPr>
                <w:rStyle w:val="868"/>
                <w:b w:val="0"/>
                <w:bCs w:val="0"/>
                <w:sz w:val="18"/>
                <w:szCs w:val="18"/>
                <w:highlight w:val="none"/>
                <w:lang w:val="en-US" w:eastAsia="zh-CN" w:bidi="ar"/>
              </w:rPr>
              <w:br/>
            </w:r>
            <w:r>
              <w:rPr>
                <w:rStyle w:val="868"/>
                <w:rFonts w:hint="eastAsia"/>
                <w:b w:val="0"/>
                <w:bCs w:val="0"/>
                <w:sz w:val="18"/>
                <w:szCs w:val="18"/>
                <w:highlight w:val="none"/>
                <w:lang w:val="en-US" w:eastAsia="zh-CN" w:bidi="ar"/>
              </w:rPr>
              <w:t xml:space="preserve">11.</w:t>
            </w:r>
            <w:r>
              <w:rPr>
                <w:rStyle w:val="868"/>
                <w:b w:val="0"/>
                <w:bCs w:val="0"/>
                <w:sz w:val="18"/>
                <w:szCs w:val="18"/>
                <w:highlight w:val="none"/>
                <w:lang w:val="en-US" w:eastAsia="zh-CN" w:bidi="ar"/>
              </w:rPr>
              <w:t xml:space="preserve">配备安全防护装置，如防夹手设计、过载保护功能，当转盘遇到阻力或过载时，能自动停止运行，保障使用安全。同时具备手动旋转功能，在停电或电机故障时可手动操作转盘。</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3875" cy="485775"/>
                      <wp:effectExtent l="0" t="0" r="9525" b="1905"/>
                      <wp:docPr id="85" name="图片 90" descr="IMG_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0" descr="IMG_345"/>
                              <pic:cNvPicPr>
                                <a:picLocks noChangeAspect="1"/>
                              </pic:cNvPicPr>
                              <pic:nvPr/>
                            </pic:nvPicPr>
                            <pic:blipFill>
                              <a:blip r:embed="rId91"/>
                              <a:stretch/>
                            </pic:blipFill>
                            <pic:spPr bwMode="auto">
                              <a:xfrm>
                                <a:off x="0" y="0"/>
                                <a:ext cx="523875"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41.2pt;height:38.2pt;mso-wrap-distance-left:0.0pt;mso-wrap-distance-top:0.0pt;mso-wrap-distance-right:0.0pt;mso-wrap-distance-bottom:0.0pt;" stroked="f" strokeweight="0.75pt">
                      <v:path textboxrect="0,0,0,0"/>
                      <v:imagedata r:id="rId91"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green"/>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Style w:val="868"/>
                <w:rFonts w:hAnsi="宋体"/>
                <w:b w:val="0"/>
                <w:bCs w:val="0"/>
                <w:sz w:val="18"/>
                <w:szCs w:val="18"/>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1.不锈钢100*100*75*180cm</w:t>
            </w:r>
            <w:r>
              <w:rPr>
                <w:rStyle w:val="868"/>
                <w:rFonts w:hAnsi="宋体"/>
                <w:b w:val="0"/>
                <w:bCs w:val="0"/>
                <w:sz w:val="18"/>
                <w:szCs w:val="18"/>
                <w:highlight w:val="none"/>
                <w:lang w:val="en-US" w:eastAsia="zh-CN" w:bidi="ar"/>
              </w:rPr>
              <w:t xml:space="preserve">适配基地食堂集体就餐场景，</w:t>
            </w:r>
            <w:r>
              <w:rPr>
                <w:rStyle w:val="868"/>
                <w:rFonts w:hint="default" w:hAnsi="宋体"/>
                <w:b w:val="0"/>
                <w:bCs w:val="0"/>
                <w:sz w:val="18"/>
                <w:szCs w:val="18"/>
                <w:highlight w:val="none"/>
                <w:lang w:val="en-US" w:eastAsia="zh-CN" w:bidi="ar"/>
              </w:rPr>
              <w:t xml:space="preserve">方形桌面设计（边长 140-150cm）+ 八人位布</w:t>
            </w:r>
            <w:r>
              <w:rPr>
                <w:rStyle w:val="868"/>
                <w:rFonts w:hint="default" w:hAnsi="宋体"/>
                <w:b w:val="0"/>
                <w:bCs w:val="0"/>
                <w:sz w:val="18"/>
                <w:szCs w:val="18"/>
                <w:lang w:val="en-US" w:eastAsia="zh-CN" w:bidi="ar"/>
              </w:rPr>
              <w:t xml:space="preserve">局（每边坐 2 人，四角预留舒适坐姿空间），满足班组围坐就餐需求；连体结构避免桌凳分离移位，304 不锈钢材质耐油污、耐高温（可承受 80℃以上餐具放置），适配食堂高频清洁（每日擦拭、定期消毒）与潮湿环境，方形桌面无卫生死角，便于保洁操作。</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2.</w:t>
            </w:r>
            <w:r>
              <w:rPr>
                <w:rStyle w:val="868"/>
                <w:rFonts w:hAnsi="宋体"/>
                <w:b w:val="0"/>
                <w:bCs w:val="0"/>
                <w:sz w:val="18"/>
                <w:szCs w:val="18"/>
                <w:lang w:val="en-US" w:eastAsia="zh-CN" w:bidi="ar"/>
              </w:rPr>
              <w:t xml:space="preserve">304 不锈钢材质标准</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化学成分：铬（Cr）18%-20%、镍（Ni）8%-11%、碳（C）≤0.08%（符合 GB/T 3280 标准。力学性能：抗拉强度≥520MPa，屈服强度≥205MPa，延伸率≥40%（保证方形结构韧性，避免边角变形）；表面处理：方形桌面 / 凳面拉丝处理（Ra≤0.8μm，防指纹、易清洁，耐油污附着），框架哑光喷塑（可选深灰色 / 藏蓝色，与不锈钢搭配，涂层厚度≥60μm，附着力等级 1 级）。</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3.</w:t>
            </w:r>
            <w:r>
              <w:rPr>
                <w:rStyle w:val="868"/>
                <w:rFonts w:hAnsi="宋体"/>
                <w:b w:val="0"/>
                <w:bCs w:val="0"/>
                <w:sz w:val="18"/>
                <w:szCs w:val="18"/>
                <w:lang w:val="en-US" w:eastAsia="zh-CN" w:bidi="ar"/>
              </w:rPr>
              <w:t xml:space="preserve">方形桌面结构与规格</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方形桌面面板：304 不锈钢板（厚度≥1.8mm，整板切割无拼接，避免油污渗入缝隙，方形结构更需保证面板刚性），尺寸</w:t>
            </w:r>
            <w:r>
              <w:rPr>
                <w:rStyle w:val="868"/>
                <w:rFonts w:hint="default" w:hAnsi="宋体"/>
                <w:b w:val="0"/>
                <w:bCs w:val="0"/>
                <w:sz w:val="18"/>
                <w:szCs w:val="18"/>
                <w:lang w:val="en-US" w:eastAsia="zh-CN" w:bidi="ar"/>
              </w:rPr>
              <w:t xml:space="preserve">边长 140-150cm（误差≤±2mm，每边坐 2 人时，人均占用桌面宽度≥70cm，预留餐具摆放与用餐空间）；桌面细节：方形四角倒圆处理（半径≥8mm，比常规圆形桌倒圆更大，进一步降低磕碰风险），底部设 “十字形” 加强筋（304 不锈钢方管，截面 30×30mm，壁厚≥1.2mm，覆盖桌面中心与四边，增强方形桌面抗下垂能力，避免餐盘集中放置时凹陷）</w:t>
            </w:r>
            <w:r>
              <w:rPr>
                <w:rStyle w:val="868"/>
                <w:rFonts w:hint="eastAsia" w:hAnsi="宋体"/>
                <w:b w:val="0"/>
                <w:bCs w:val="0"/>
                <w:sz w:val="18"/>
                <w:szCs w:val="18"/>
                <w:lang w:val="en-US" w:eastAsia="zh-CN" w:bidi="ar"/>
              </w:rPr>
              <w:t xml:space="preserve">。</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4.</w:t>
            </w:r>
            <w:r>
              <w:rPr>
                <w:rStyle w:val="868"/>
                <w:rFonts w:hAnsi="宋体"/>
                <w:b w:val="0"/>
                <w:bCs w:val="0"/>
                <w:sz w:val="18"/>
                <w:szCs w:val="18"/>
                <w:lang w:val="en-US" w:eastAsia="zh-CN" w:bidi="ar"/>
              </w:rPr>
              <w:t xml:space="preserve">凳面与连体框架结构</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1） </w:t>
            </w:r>
            <w:r>
              <w:rPr>
                <w:rStyle w:val="868"/>
                <w:rFonts w:hint="default" w:hAnsi="宋体"/>
                <w:b w:val="0"/>
                <w:bCs w:val="0"/>
                <w:sz w:val="18"/>
                <w:szCs w:val="18"/>
                <w:lang w:val="en-US" w:eastAsia="zh-CN" w:bidi="ar"/>
              </w:rPr>
              <w:t xml:space="preserve">凳面布局：8 个凳面分设方形桌面四边（每边</w:t>
            </w:r>
            <w:r>
              <w:rPr>
                <w:rStyle w:val="868"/>
                <w:rFonts w:hint="eastAsia" w:hAnsi="宋体"/>
                <w:b w:val="0"/>
                <w:bCs w:val="0"/>
                <w:sz w:val="18"/>
                <w:szCs w:val="18"/>
                <w:lang w:val="en-US" w:eastAsia="zh-CN" w:bidi="ar"/>
              </w:rPr>
              <w:t xml:space="preserve">1条凳</w:t>
            </w:r>
            <w:r>
              <w:rPr>
                <w:rStyle w:val="868"/>
                <w:rFonts w:hint="default" w:hAnsi="宋体"/>
                <w:b w:val="0"/>
                <w:bCs w:val="0"/>
                <w:sz w:val="18"/>
                <w:szCs w:val="18"/>
                <w:lang w:val="en-US" w:eastAsia="zh-CN" w:bidi="ar"/>
              </w:rPr>
              <w:t xml:space="preserve">，对称分布），凳面尺寸长 40-45cm× 宽 35-40cm / 个（304 不锈钢板，厚度≥1.2mm），表面冲压防滑纹路（纹路深度≥0.5mm，倾斜 15° 无滑动），凳面边缘倒圆（半径≥3mm）；2</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连体框架：主框架采用 304 不锈钢方管（截面 40×40mm，壁厚≥1.5mm），按方形桌面尺寸形成 “回字形” 主支撑，凳腿与主框架满焊连接（焊脚高度≥5mm，无虚焊、漏焊），凳腿底部设方形承重底板（304 不锈钢板，尺寸 120×120×5mm，增大地面接触面积，提升方形结构稳定性）；3</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 尺寸精度：总高度（桌面至地面）75cm，凳面高度 45cm（与桌面高度差 30cm，符合人体工学，就餐时膝盖自然弯曲），整体占地面积≤150cm×150cm（方形布局适配食堂规整空间，便于多桌并排摆放，相邻桌间距≥80cm）</w:t>
            </w:r>
            <w:r>
              <w:rPr>
                <w:rStyle w:val="868"/>
                <w:rFonts w:hint="eastAsia" w:hAnsi="宋体"/>
                <w:b w:val="0"/>
                <w:bCs w:val="0"/>
                <w:sz w:val="18"/>
                <w:szCs w:val="18"/>
                <w:lang w:val="en-US" w:eastAsia="zh-CN" w:bidi="ar"/>
              </w:rPr>
              <w:t xml:space="preserve">。</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5.</w:t>
            </w:r>
            <w:r>
              <w:rPr>
                <w:rStyle w:val="868"/>
                <w:rFonts w:hAnsi="宋体"/>
                <w:b w:val="0"/>
                <w:bCs w:val="0"/>
                <w:sz w:val="18"/>
                <w:szCs w:val="18"/>
                <w:lang w:val="en-US" w:eastAsia="zh-CN" w:bidi="ar"/>
              </w:rPr>
              <w:t xml:space="preserve">方形结构承重与稳固性</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1） </w:t>
            </w:r>
            <w:r>
              <w:rPr>
                <w:rStyle w:val="868"/>
                <w:rFonts w:hint="default" w:hAnsi="宋体"/>
                <w:b w:val="0"/>
                <w:bCs w:val="0"/>
                <w:sz w:val="18"/>
                <w:szCs w:val="18"/>
                <w:lang w:val="en-US" w:eastAsia="zh-CN" w:bidi="ar"/>
              </w:rPr>
              <w:t xml:space="preserve">整体承重：静态均匀承重≥800kg（8 人同时就餐，人均体重按 80kg + 餐具 20kg 计算，24 小时无框架变形、方形桌面弯曲（弯曲度≤2mm/150cm））；2</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 边角承重：方形桌面任意一角施加 30kg 力（模拟单人倚靠，无局部凹陷、边角变形）；3</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抗倾覆性：方形桌面相邻两边凳面满载（4 人 ×80kg），另外两边空载，餐桌无倾倒（符合 GB/T 10357.2 标准，底部重心偏移量≤5cm，方形结构重心更稳定）；4</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 结构刚性：方形框架对角线偏差≤3mm（确保框架无扭曲，桌凳连体结构平整）</w:t>
            </w:r>
            <w:r>
              <w:rPr>
                <w:rStyle w:val="868"/>
                <w:rFonts w:hint="eastAsia" w:hAnsi="宋体"/>
                <w:b w:val="0"/>
                <w:bCs w:val="0"/>
                <w:sz w:val="18"/>
                <w:szCs w:val="18"/>
                <w:lang w:val="en-US" w:eastAsia="zh-CN" w:bidi="ar"/>
              </w:rPr>
              <w:t xml:space="preserve">。</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6.</w:t>
            </w:r>
            <w:r>
              <w:rPr>
                <w:rStyle w:val="868"/>
                <w:rFonts w:hAnsi="宋体"/>
                <w:b w:val="0"/>
                <w:bCs w:val="0"/>
                <w:sz w:val="18"/>
                <w:szCs w:val="18"/>
                <w:lang w:val="en-US" w:eastAsia="zh-CN" w:bidi="ar"/>
              </w:rPr>
              <w:t xml:space="preserve">防腐蚀与清洁（方形适配</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1）</w:t>
            </w:r>
            <w:r>
              <w:rPr>
                <w:rStyle w:val="868"/>
                <w:rFonts w:hint="default" w:hAnsi="宋体"/>
                <w:b w:val="0"/>
                <w:bCs w:val="0"/>
                <w:sz w:val="18"/>
                <w:szCs w:val="18"/>
                <w:lang w:val="en-US" w:eastAsia="zh-CN" w:bidi="ar"/>
              </w:rPr>
              <w:t xml:space="preserve">防腐蚀处理：所有不锈钢部件经酸洗、钝化处理（表面形成氧化保护膜，耐盐雾测试≥480 小时（GB/T 10125），食堂潮湿环境下无锈蚀，方形桌面边角缝隙无锈蚀堆积）；2</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易清洁设计：方形桌面无弧形凹槽，四边平直（油污、汤汁可直接向桌面中心或边缘擦拭，无残留），框架与方形桌面连接处缝隙≤1mm（无食物残渣堆积），可耐受食堂常用消毒剂（如 84 消毒液、75% 酒精）擦拭，无涂层脱落、材质腐蚀；3</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 边角清洁：方形桌面四角倒圆处打磨光滑（无毛刺，清洁时抹布可顺畅划过，无勾丝风险）</w:t>
            </w:r>
            <w:r>
              <w:rPr>
                <w:rStyle w:val="868"/>
                <w:rFonts w:hint="eastAsia" w:hAnsi="宋体"/>
                <w:b w:val="0"/>
                <w:bCs w:val="0"/>
                <w:sz w:val="18"/>
                <w:szCs w:val="18"/>
                <w:lang w:val="en-US" w:eastAsia="zh-CN" w:bidi="ar"/>
              </w:rPr>
              <w:t xml:space="preserve">。</w:t>
            </w:r>
            <w:r/>
          </w:p>
          <w:p>
            <w:pPr>
              <w:jc w:val="left"/>
              <w:keepLines w:val="0"/>
              <w:keepNext w:val="0"/>
              <w:widowControl/>
              <w:rPr>
                <w:rStyle w:val="868"/>
                <w:rFonts w:hAnsi="宋体"/>
                <w:b w:val="0"/>
                <w:bCs w:val="0"/>
                <w:sz w:val="18"/>
                <w:szCs w:val="18"/>
                <w:lang w:val="en-US" w:eastAsia="zh-CN" w:bidi="ar"/>
              </w:rPr>
              <w:suppressLineNumbers w:val="0"/>
            </w:pPr>
            <w:r>
              <w:rPr>
                <w:rStyle w:val="868"/>
                <w:rFonts w:hint="eastAsia" w:hAnsi="宋体"/>
                <w:b w:val="0"/>
                <w:bCs w:val="0"/>
                <w:sz w:val="18"/>
                <w:szCs w:val="18"/>
                <w:lang w:val="en-US" w:eastAsia="zh-CN" w:bidi="ar"/>
              </w:rPr>
              <w:t xml:space="preserve">7.</w:t>
            </w:r>
            <w:r>
              <w:rPr>
                <w:rStyle w:val="868"/>
                <w:rFonts w:hAnsi="宋体"/>
                <w:b w:val="0"/>
                <w:bCs w:val="0"/>
                <w:sz w:val="18"/>
                <w:szCs w:val="18"/>
                <w:lang w:val="en-US" w:eastAsia="zh-CN" w:bidi="ar"/>
              </w:rPr>
              <w:t xml:space="preserve">安全与细节防护（方形优化）</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1） </w:t>
            </w:r>
            <w:r>
              <w:rPr>
                <w:rStyle w:val="868"/>
                <w:rFonts w:hint="default" w:hAnsi="宋体"/>
                <w:b w:val="0"/>
                <w:bCs w:val="0"/>
                <w:sz w:val="18"/>
                <w:szCs w:val="18"/>
                <w:lang w:val="en-US" w:eastAsia="zh-CN" w:bidi="ar"/>
              </w:rPr>
              <w:t xml:space="preserve">四角防护：方形桌面四角除倒圆外，可选配硅胶防护套（直径≥20mm，与桌面同色，进一步降低碰撞冲击力，适配食堂人员密集场景）；2</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 地面防护：凳腿底部安装橡胶防滑垫（厚度≥8mm，材质为耐油天然橡胶，摩擦系数≥0.8，适配食堂油污地面，防止方形餐桌推移，同时避免刮伤瓷砖）；3</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静音设计：凳面底部与框架连接处加装硅胶缓冲垫（厚度≥3mm，减少就餐时凳面晃动噪音，噪音≤50dB，方形围坐场景更需控制噪音）</w:t>
            </w:r>
            <w:r>
              <w:rPr>
                <w:rStyle w:val="868"/>
                <w:rFonts w:hint="eastAsia" w:hAnsi="宋体"/>
                <w:b w:val="0"/>
                <w:bCs w:val="0"/>
                <w:sz w:val="18"/>
                <w:szCs w:val="18"/>
                <w:lang w:val="en-US" w:eastAsia="zh-CN" w:bidi="ar"/>
              </w:rPr>
              <w:t xml:space="preserve">。</w:t>
            </w:r>
            <w:r/>
          </w:p>
          <w:p>
            <w:pPr>
              <w:jc w:val="left"/>
              <w:keepLines w:val="0"/>
              <w:keepNext w:val="0"/>
              <w:widowControl/>
              <w:rPr>
                <w:rFonts w:hint="eastAsia" w:ascii="黑体" w:hAnsi="宋体" w:eastAsia="黑体" w:cs="黑体"/>
                <w:b w:val="0"/>
                <w:bCs w:val="0"/>
                <w:i w:val="0"/>
                <w:iCs w:val="0"/>
                <w:color w:val="000000"/>
                <w:sz w:val="18"/>
                <w:szCs w:val="18"/>
                <w:highlight w:val="green"/>
                <w:u w:val="none"/>
              </w:rPr>
              <w:suppressLineNumbers w:val="0"/>
            </w:pPr>
            <w:r>
              <w:rPr>
                <w:rStyle w:val="868"/>
                <w:rFonts w:hint="eastAsia" w:hAnsi="宋体"/>
                <w:b w:val="0"/>
                <w:bCs w:val="0"/>
                <w:sz w:val="18"/>
                <w:szCs w:val="18"/>
                <w:lang w:val="en-US" w:eastAsia="zh-CN" w:bidi="ar"/>
              </w:rPr>
              <w:t xml:space="preserve">8.</w:t>
            </w:r>
            <w:r>
              <w:rPr>
                <w:rStyle w:val="868"/>
                <w:rFonts w:hAnsi="宋体"/>
                <w:b w:val="0"/>
                <w:bCs w:val="0"/>
                <w:sz w:val="18"/>
                <w:szCs w:val="18"/>
                <w:lang w:val="en-US" w:eastAsia="zh-CN" w:bidi="ar"/>
              </w:rPr>
              <w:t xml:space="preserve">食堂场景适配（方形优势）</w:t>
            </w:r>
            <w:r>
              <w:rPr>
                <w:rStyle w:val="868"/>
                <w:rFonts w:hint="eastAsia" w:hAnsi="宋体"/>
                <w:b w:val="0"/>
                <w:bCs w:val="0"/>
                <w:sz w:val="18"/>
                <w:szCs w:val="18"/>
                <w:lang w:val="en-US" w:eastAsia="zh-CN" w:bidi="ar"/>
              </w:rPr>
              <w:t xml:space="preserve">：</w:t>
            </w:r>
            <w:r>
              <w:rPr>
                <w:rStyle w:val="868"/>
                <w:rFonts w:hAnsi="宋体"/>
                <w:b w:val="0"/>
                <w:bCs w:val="0"/>
                <w:sz w:val="18"/>
                <w:szCs w:val="18"/>
                <w:lang w:val="en-US" w:eastAsia="zh-CN" w:bidi="ar"/>
              </w:rPr>
              <w:t xml:space="preserve">1）</w:t>
            </w:r>
            <w:r>
              <w:rPr>
                <w:rStyle w:val="868"/>
                <w:rFonts w:hint="default" w:hAnsi="宋体"/>
                <w:b w:val="0"/>
                <w:bCs w:val="0"/>
                <w:sz w:val="18"/>
                <w:szCs w:val="18"/>
                <w:lang w:val="en-US" w:eastAsia="zh-CN" w:bidi="ar"/>
              </w:rPr>
              <w:t xml:space="preserve">空间利用：方形结构便于多桌组合摆放（如 2 桌拼接形成长方形，满足 16 人集体就餐；单独摆放时，方形更适配食堂方形立柱、墙角空间，无浪费）；2</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 耐高温性：方形桌面可承受 100℃以下餐具直接放置（如热汤碗、餐盘），30 分钟内无变形、变色，方形桌面受热均匀，无局部过热变形；3</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 标识适配：方形桌面边缘居中位置可选配不锈钢编号牌（可激光雕刻班组编号，便于食堂分区管理，方形边缘标识更醒目）；4</w:t>
            </w:r>
            <w:r>
              <w:rPr>
                <w:rStyle w:val="868"/>
                <w:rFonts w:hint="eastAsia" w:hAnsi="宋体"/>
                <w:b w:val="0"/>
                <w:bCs w:val="0"/>
                <w:sz w:val="18"/>
                <w:szCs w:val="18"/>
                <w:lang w:val="en-US" w:eastAsia="zh-CN" w:bidi="ar"/>
              </w:rPr>
              <w:t xml:space="preserve">）</w:t>
            </w:r>
            <w:r>
              <w:rPr>
                <w:rStyle w:val="868"/>
                <w:rFonts w:hint="default" w:hAnsi="宋体"/>
                <w:b w:val="0"/>
                <w:bCs w:val="0"/>
                <w:sz w:val="18"/>
                <w:szCs w:val="18"/>
                <w:lang w:val="en-US" w:eastAsia="zh-CN" w:bidi="ar"/>
              </w:rPr>
              <w:t xml:space="preserve">通行适配：方形餐桌四边无突出部件，人员绕桌通行顺畅（适配食堂高峰期人流穿梭）</w:t>
            </w:r>
            <w:r>
              <w:rPr>
                <w:rStyle w:val="868"/>
                <w:rFonts w:hint="eastAsia" w:hAnsi="宋体"/>
                <w:b w:val="0"/>
                <w:bCs w:val="0"/>
                <w:sz w:val="18"/>
                <w:szCs w:val="1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33400"/>
                      <wp:effectExtent l="0" t="0" r="9525" b="0"/>
                      <wp:docPr id="86" name="图片 91" descr="IMG_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91" descr="IMG_346"/>
                              <pic:cNvPicPr>
                                <a:picLocks noChangeAspect="1"/>
                              </pic:cNvPicPr>
                              <pic:nvPr/>
                            </pic:nvPicPr>
                            <pic:blipFill>
                              <a:blip r:embed="rId92"/>
                              <a:stretch/>
                            </pic:blipFill>
                            <pic:spPr bwMode="auto">
                              <a:xfrm>
                                <a:off x="0" y="0"/>
                                <a:ext cx="5238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41.2pt;height:42.0pt;mso-wrap-distance-left:0.0pt;mso-wrap-distance-top:0.0pt;mso-wrap-distance-right:0.0pt;mso-wrap-distance-bottom:0.0pt;" stroked="f" strokeweight="0.75pt">
                      <v:path textboxrect="0,0,0,0"/>
                      <v:imagedata r:id="rId92"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跑步机</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跑步区域：跑步带有效长度不小于 140cm，宽度不小于 50cm，为用户提供舒适、安全的跑步空间，减少侧滑风险；跑步带表面需具备良好的防滑性能，纹理设计合理，适应不同跑步姿势和速度。</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整体尺寸：跑步机展开尺寸（长 × 宽 × 高）控制在 200cm×85cm×150cm 以内（误差不超过 ±3cm），折叠后厚度不超过 30cm，方便存放和移动，适应家庭、健身房等多种使用场景。</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电机功率：持续输出功率不低于 1.5HP，峰值功率不低于 3.0HP，确保跑步机在不同速度和负载下稳定运行，满足不同体重用户的跑步需求；电机运行时噪音值不超过 65dB（距离跑步机 1 米处测量），避免干扰周围环境。</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速度调节：速度调节范围为 0.8 - 18km/h，调节精度为 0.1km/h，支持手动按键调节和智能程序自动调节，满足用户从散步到快跑的多样化运动需求。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坡度调节：电动坡度调节范围为 0 - 15°，调节精度为 0.5°，可通过控制面板或智能程序快速调整，模拟不同地形的跑步体验，增加运动强度和趣味性。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显示屏：配备不小于 7 英寸的彩色触控显示屏，分辨率不低于 1024×600，可清晰显示运动数据（如速度、距离、时间、卡路里消耗、心率等）；支持连接 Wi-Fi 或蓝牙，可下载运动 APP，实现课程学习、数据记录与分享等功能。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减震系统：采用先进的减震技术（如弹簧减震、硅胶减震、气囊减震等），有效减少跑步时对膝盖、脚踝等关节的冲击力；减震效果需通过专业测试，在模拟跑步过程中，关节冲击力降低不低于 30%。</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安全配置：配备紧急停止按钮，位于跑步机扶手显眼位置，按下后跑步机立即停止运行；配备安全锁，用户通过安全绳将安全锁与身体连接，当用户意外脱离跑步机时，跑步机自动停止，保障用户安全；扶手表面需防滑，且高度和角度设计符合人体工学，便于用户在跑步过程中抓握。</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附加功能：支持心率监测，可通过手握式心率传感器或蓝牙连接心率带实时监测心率；配备 USB 充电接口、音响系统等，提升运动体验；部分型号可具备折叠助力功能，方便用户轻松折叠和展开跑步机。</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机身材质：跑步机框架采用高强度钢材，钢材厚度不小于 2mm，确保机身稳固，承重能力不低于 120kg；跑步带采用优质耐磨橡胶材质，厚度不小于 2.5mm，表面经过特殊处理，具有良好的耐磨性和耐撕裂性，使用寿命不低于 2000 小时。</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表面处理：机身表面采用静电喷塑工艺，涂层厚度不小于 80μm，颜色均匀，附着力强，具备防锈、防腐蚀、耐刮擦性能；涂层需通过盐雾测试（GB/T 1771 - 2007），在 5% 氯化钠溶液、温度 35℃±2℃环境下，经 48 小时测试无明显锈蚀现象。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12.</w:t>
            </w:r>
            <w:r>
              <w:rPr>
                <w:rStyle w:val="868"/>
                <w:b w:val="0"/>
                <w:bCs w:val="0"/>
                <w:sz w:val="18"/>
                <w:szCs w:val="18"/>
                <w:lang w:val="en-US" w:eastAsia="zh-CN" w:bidi="ar"/>
              </w:rPr>
              <w:t xml:space="preserve">跑步机需通过国家强制性产品认证（CCC 认证），符合 GB 4706.1 - 2005《家用和类似用途电器的安全 通用要求》及 GB 4706.29 - 2008《家用和类似用途电器的安全 跑步机的特殊要求》标准。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13.</w:t>
            </w:r>
            <w:r>
              <w:rPr>
                <w:rStyle w:val="868"/>
                <w:b w:val="0"/>
                <w:bCs w:val="0"/>
                <w:sz w:val="18"/>
                <w:szCs w:val="18"/>
                <w:lang w:val="en-US" w:eastAsia="zh-CN" w:bidi="ar"/>
              </w:rPr>
              <w:t xml:space="preserve">绝缘电阻≥10MΩ，接地电阻≤0.1Ω，电源线需采用优质材料，线径符合国家标准，具备良好的柔韧性和耐磨性，确保用电安全。</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42925"/>
                      <wp:effectExtent l="0" t="0" r="9525" b="5715"/>
                      <wp:docPr id="87" name="图片 92" descr="IMG_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2" descr="IMG_347"/>
                              <pic:cNvPicPr>
                                <a:picLocks noChangeAspect="1"/>
                              </pic:cNvPicPr>
                              <pic:nvPr/>
                            </pic:nvPicPr>
                            <pic:blipFill>
                              <a:blip r:embed="rId93"/>
                              <a:stretch/>
                            </pic:blipFill>
                            <pic:spPr bwMode="auto">
                              <a:xfrm>
                                <a:off x="0" y="0"/>
                                <a:ext cx="52387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1.2pt;height:42.8pt;mso-wrap-distance-left:0.0pt;mso-wrap-distance-top:0.0pt;mso-wrap-distance-right:0.0pt;mso-wrap-distance-bottom:0.0pt;" stroked="f" strokeweight="0.75pt">
                      <v:path textboxrect="0,0,0,0"/>
                      <v:imagedata r:id="rId93"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腹肌板</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整体尺寸：展开状态下，长度不小于 150cm，宽度不小于 45cm，高度不超过 30cm（误差不超过 ±2cm），确保用户有足够的锻炼空间；折叠后厚度不超过 10cm，方便收纳存放，节省空间。</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板面尺寸：板面有效锻炼区域长度不小于 120cm，宽度不小于 40cm，表面平整光滑，边缘采用圆弧倒角处理，避免划伤用户。</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框架材质：采用高强度钢材，钢材厚度不小于 2mm，符合 GB/T 700 - 2006《碳素结构钢》标准，确保框架结构稳固，承重能力不低于 150kg；钢材表面经过防锈处理，防止生锈腐蚀。</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板面材质：板面采用高密度工程塑料或优质皮革材质，表面耐磨、防滑、易清洁；若为皮革材质，需采用环保皮革，无异味，符合 GB 18585 - 2017《室内装饰装修材料 人造革有害物质限量》标准；内部填充高密度海绵，厚度不小于 3cm，提供舒适的锻炼体验。</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焊接工艺：框架各部件采用二氧化碳气体保护焊焊接，焊缝均匀，无虚焊、漏焊、焊穿等现象，焊接处表面平整光滑，焊接强度需通过专业力学测试，确保整体结构牢固可靠。</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表面处理：钢材表面采用静电喷塑工艺，涂层厚度不小于 80μm，颜色均匀，附着力强，具备防锈、防腐蚀、耐刮擦性能；涂层需通过盐雾测试（GB/T 1771 - 2007），在 5% 氯化钠溶液、温度 35℃±2℃环境下，经 48 小时测试无明显锈蚀现象。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角度调节：具备多档角度调节功能，调节范围为 0 - 45°，调节档位不少于 5 档，用户可根据自身锻炼需求调整板面角度，满足不同强度的腹肌训练；角度调节装置操作简便、灵活，锁定牢固，在使用过程中不会出现松动或自动调节现象。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防滑设计：板面表面设计有防滑纹理，或配备防滑垫，确保用户在锻炼过程中身体不会滑动；腹肌板底部四角安装防滑橡胶脚垫，脚垫尺寸不小于 5cm×5cm，厚度不小于 1cm，增加与地面的摩擦力，防止锻炼时腹肌板移位，保障用户安全。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便携性：设计便于移动的结构，如配备隐藏式滚轮，用户可轻松推动腹肌板进行位置移动；整体重量不超过 20kg，方便用户搬运和收纳。</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腹肌板需通过相关质量检测认证，符合 GB 17498.1 - 2008《健身器材 通用安全要求和试验方法 第 1 部分：通用要求》标准，确保产品质量和使用安全。</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各部件连接牢固，无尖锐边角和毛刺，防止用户在使用过程中受伤；运动部件（如角度调节装置）需有防护措施，避免夹伤用户手指等部位。</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42925"/>
                      <wp:effectExtent l="0" t="0" r="9525" b="5715"/>
                      <wp:docPr id="88" name="图片 93"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93" descr="IMG_348"/>
                              <pic:cNvPicPr>
                                <a:picLocks noChangeAspect="1"/>
                              </pic:cNvPicPr>
                              <pic:nvPr/>
                            </pic:nvPicPr>
                            <pic:blipFill>
                              <a:blip r:embed="rId94"/>
                              <a:stretch/>
                            </pic:blipFill>
                            <pic:spPr bwMode="auto">
                              <a:xfrm>
                                <a:off x="0" y="0"/>
                                <a:ext cx="52387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41.2pt;height:42.8pt;mso-wrap-distance-left:0.0pt;mso-wrap-distance-top:0.0pt;mso-wrap-distance-right:0.0pt;mso-wrap-distance-bottom:0.0pt;" stroked="f" strokeweight="0.75pt">
                      <v:path textboxrect="0,0,0,0"/>
                      <v:imagedata r:id="rId94"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杠铃组</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rPr>
              <w:t xml:space="preserve">125KG杠铃组合，包含：1.8米杆，40KG哑铃，配片15kg*2、10kg*2、7.5kg*4。护肩1个、护腕1对、手套1对。</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eastAsia="zh-CN"/>
              </w:rPr>
              <w:suppressLineNumbers w:val="0"/>
            </w:pPr>
            <w:r>
              <w:rPr>
                <w:rFonts w:hint="eastAsia" w:ascii="黑体" w:hAnsi="宋体" w:eastAsia="黑体" w:cs="黑体"/>
                <w:b w:val="0"/>
                <w:bCs w:val="0"/>
                <w:i w:val="0"/>
                <w:iCs w:val="0"/>
                <w:color w:val="000000"/>
                <w:sz w:val="18"/>
                <w:szCs w:val="18"/>
                <w:highlight w:val="none"/>
                <w:u w:val="none"/>
              </w:rPr>
              <w:t xml:space="preserve">杠铃片采用环保PVC材质，环保健康</w:t>
            </w:r>
            <w:r>
              <w:rPr>
                <w:rFonts w:hint="eastAsia" w:ascii="黑体" w:hAnsi="宋体" w:eastAsia="黑体" w:cs="黑体"/>
                <w:b w:val="0"/>
                <w:bCs w:val="0"/>
                <w:i w:val="0"/>
                <w:iCs w:val="0"/>
                <w:color w:val="000000"/>
                <w:sz w:val="18"/>
                <w:szCs w:val="18"/>
                <w:highlight w:val="none"/>
                <w:u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14350"/>
                      <wp:effectExtent l="0" t="0" r="9525" b="3810"/>
                      <wp:docPr id="89" name="图片 94" descr="IMG_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4" descr="IMG_349"/>
                              <pic:cNvPicPr>
                                <a:picLocks noChangeAspect="1"/>
                              </pic:cNvPicPr>
                              <pic:nvPr/>
                            </pic:nvPicPr>
                            <pic:blipFill>
                              <a:blip r:embed="rId95"/>
                              <a:stretch/>
                            </pic:blipFill>
                            <pic:spPr bwMode="auto">
                              <a:xfrm>
                                <a:off x="0" y="0"/>
                                <a:ext cx="5238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41.2pt;height:40.5pt;mso-wrap-distance-left:0.0pt;mso-wrap-distance-top:0.0pt;mso-wrap-distance-right:0.0pt;mso-wrap-distance-bottom:0.0pt;" stroked="f" strokeweight="0.75pt">
                      <v:path textboxrect="0,0,0,0"/>
                      <v:imagedata r:id="rId95"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哑铃组</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哑铃材质：哑铃杆采用优质钢材，表面经过镀铬或其他防锈处理，耐腐蚀、美观耐用；哑铃头采用铸铁材质，表面包裹橡胶或聚氨酯材料，防止损伤地面，同时增加握持稳定性。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哑铃规格：提供不同重量规格的哑铃，如 1kg、2kg、3kg、5kg、8kg、10kg、15kg、20kg 等，以满足不同使用者的力量训练需求。</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握把设计：哑铃握把符合人体工程学设计，直径合适，表面有一定的纹理，增加摩擦力，握感舒适，不易脱手。</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38150"/>
                      <wp:effectExtent l="0" t="0" r="9525" b="3810"/>
                      <wp:docPr id="90" name="图片 95" descr="IMG_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5" descr="IMG_350"/>
                              <pic:cNvPicPr>
                                <a:picLocks noChangeAspect="1"/>
                              </pic:cNvPicPr>
                              <pic:nvPr/>
                            </pic:nvPicPr>
                            <pic:blipFill>
                              <a:blip r:embed="rId96"/>
                              <a:stretch/>
                            </pic:blipFill>
                            <pic:spPr bwMode="auto">
                              <a:xfrm>
                                <a:off x="0" y="0"/>
                                <a:ext cx="5238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41.2pt;height:34.5pt;mso-wrap-distance-left:0.0pt;mso-wrap-distance-top:0.0pt;mso-wrap-distance-right:0.0pt;mso-wrap-distance-bottom:0.0pt;" stroked="f" strokeweight="0.75pt">
                      <v:path textboxrect="0,0,0,0"/>
                      <v:imagedata r:id="rId96"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综合健身设备</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12大类功能至少包含胸部推举、肩部推举、坐姿划船、腿部屈伸、蝴蝶机等多种功能模块，可满足全身多个部位的力量训练需求。</w:t>
            </w:r>
            <w:r/>
          </w:p>
          <w:p>
            <w:pPr>
              <w:jc w:val="left"/>
              <w:keepLines w:val="0"/>
              <w:keepNext w:val="0"/>
              <w:widowControl/>
              <w:rPr>
                <w:rFonts w:hint="eastAsia" w:ascii="黑体" w:hAnsi="宋体" w:eastAsia="黑体" w:cs="黑体"/>
                <w:b w:val="0"/>
                <w:bCs w:val="0"/>
                <w:i w:val="0"/>
                <w:iCs w:val="0"/>
                <w:color w:val="000000"/>
                <w:sz w:val="18"/>
                <w:szCs w:val="18"/>
                <w:highlight w:val="none"/>
                <w:u w:val="none"/>
                <w:lang w:val="en-US" w:eastAsia="zh-CN" w:bidi="ar"/>
              </w:rPr>
              <w:suppressLineNumbers w:val="0"/>
            </w:pPr>
            <w:r>
              <w:rPr>
                <w:rFonts w:hint="eastAsia" w:ascii="黑体" w:hAnsi="宋体" w:eastAsia="黑体" w:cs="黑体"/>
                <w:b w:val="0"/>
                <w:bCs w:val="0"/>
                <w:i w:val="0"/>
                <w:iCs w:val="0"/>
                <w:color w:val="000000"/>
                <w:sz w:val="18"/>
                <w:szCs w:val="18"/>
                <w:highlight w:val="none"/>
                <w:u w:val="none"/>
                <w:lang w:val="en-US" w:eastAsia="zh-CN" w:bidi="ar"/>
              </w:rPr>
              <w:t xml:space="preserve">整机采用加厚钢材，受力面积大，专业深蹲卧推3档可调，蝴蝶臂加粗加长，专业护板保护功能，加长底座，与地面接触面积更大，更稳固。</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523875"/>
                      <wp:effectExtent l="0" t="0" r="9525" b="9525"/>
                      <wp:docPr id="91" name="图片 96" descr="IMG_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6" descr="IMG_351"/>
                              <pic:cNvPicPr>
                                <a:picLocks noChangeAspect="1"/>
                              </pic:cNvPicPr>
                              <pic:nvPr/>
                            </pic:nvPicPr>
                            <pic:blipFill>
                              <a:blip r:embed="rId97"/>
                              <a:stretch/>
                            </pic:blipFill>
                            <pic:spPr bwMode="auto">
                              <a:xfrm>
                                <a:off x="0" y="0"/>
                                <a:ext cx="52387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41.2pt;height:41.2pt;mso-wrap-distance-left:0.0pt;mso-wrap-distance-top:0.0pt;mso-wrap-distance-right:0.0pt;mso-wrap-distance-bottom:0.0pt;" stroked="f" strokeweight="0.75pt">
                      <v:path textboxrect="0,0,0,0"/>
                      <v:imagedata r:id="rId9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健身自行车</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整体尺寸：设备长 × 宽 × 高尺寸为 [120 - 140] cm×[50 - 60] cm×[120 - 140] cm，误差不超过 ±2cm，确保适配健身房、家庭等不同空间摆放；折叠款健身自行车折叠后厚度不超过 20cm，方便收纳存放。</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座椅调节范围：座椅高度调节范围不小于 20cm，前后调节范围不小于 15cm，满足不同身高（150 - 190cm）用户的舒适骑行需求；调节装置操作便捷，锁定牢固，骑行过程中无松动现象。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车架材质：采用高强度铝合金或优质钢材，铝合金材质需符合 GB/T 3190 - 2020 标准，钢材屈服强度不低于 345MPa、厚度不小于 2.5mm；表面经阳极氧化（铝合金）或静电喷塑（钢材）处理，涂层厚度不小于 80μm，通过 48 小时盐雾测试，具备良好的防锈、耐腐蚀性能。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传动部件材质：链条采用不锈钢材质，抗拉伸强度高、耐磨且防锈；皮带传动的健身自行车，皮带需采用优质橡胶材质，厚度不小于 3mm，耐磨测试不低于 3000 小时，传动平稳、噪音低。</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接触部件材质：座椅采用环保皮革包裹高密度海绵，皮革符合 GB 18585 - 2017 标准，无异味、触感舒适；海绵密度不低于 35kg/m</w:t>
            </w:r>
            <w:r>
              <w:rPr>
                <w:rStyle w:val="863"/>
                <w:b w:val="0"/>
                <w:bCs w:val="0"/>
                <w:sz w:val="18"/>
                <w:szCs w:val="18"/>
                <w:lang w:val="en-US" w:eastAsia="zh-CN" w:bidi="ar"/>
              </w:rPr>
              <w:t xml:space="preserve">³</w:t>
            </w:r>
            <w:r>
              <w:rPr>
                <w:rStyle w:val="868"/>
                <w:b w:val="0"/>
                <w:bCs w:val="0"/>
                <w:sz w:val="18"/>
                <w:szCs w:val="18"/>
                <w:lang w:val="en-US" w:eastAsia="zh-CN" w:bidi="ar"/>
              </w:rPr>
              <w:t xml:space="preserve">，提供良好支撑；握把采用防滑橡胶材质，表面纹理设计增加摩擦力，长时间握持不易疲劳。</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阻力调节系统：磁控阻力调节不少于 16 档，调节精度高，阻力变化平滑无卡顿；阻力调节范围满足从低强度热身到高强度训练需求，调节方式支持手动旋钮调节或电子按键调节。部分高端型号可配备电磁控阻力系统，支持通过智能设备 APP 或设备显示屏预设训练程序，自动调节阻力，实现多样化训练模式。</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显示与智能功能：配备不小于 5 英寸的液晶显示屏，可实时显示骑行速度、时间、距离、卡路里消耗、心率（需搭配心率带）等数据；显示屏视角良好，强光下仍清晰可见。支持蓝牙或 Wi-Fi 连接，兼容主流运动 APP（如 Keep、Zwift 等），实现课程学习、数据同步、虚拟骑行场景模拟等功能；部分设备可内置训练课程，满足用户多样化训练需求。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传动系统：传动比设计合理，确保骑行顺畅，无链条打滑、皮带跑偏等现象；脚踏板采用防滑设计，配备安全绑带，防止骑行时脚部滑落；飞轮重量不低于 8kg，惯性稳定，骑行体验流畅。</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健身自行车需通过国家体育用品质量监督检验中心检测，符合 GB 17498.1 - 2008《健身器材 通用安全要求和试验方法 第 1 部分：通用要求》及 GB 17498.8 - 2008《健身器材 第 8 部分：脚踏式训练器安全要求和试验方法》标准。</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10.</w:t>
            </w:r>
            <w:r>
              <w:rPr>
                <w:rStyle w:val="868"/>
                <w:b w:val="0"/>
                <w:bCs w:val="0"/>
                <w:sz w:val="18"/>
                <w:szCs w:val="18"/>
                <w:lang w:val="en-US" w:eastAsia="zh-CN" w:bidi="ar"/>
              </w:rPr>
              <w:t xml:space="preserve">电气设备需通过国家强制性产品认证（CCC 认证），绝缘电阻≥10MΩ，接地电阻≤0.1Ω，电源线符合国家标准，防止漏电风险。</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11.</w:t>
            </w:r>
            <w:r>
              <w:rPr>
                <w:rStyle w:val="868"/>
                <w:b w:val="0"/>
                <w:bCs w:val="0"/>
                <w:sz w:val="18"/>
                <w:szCs w:val="18"/>
                <w:lang w:val="en-US" w:eastAsia="zh-CN" w:bidi="ar"/>
              </w:rPr>
              <w:t xml:space="preserve">设备边缘进行圆角处理，无尖锐边角和毛刺；运动部件设置防护装置，如链条防护罩，避免夹伤用户；设备底部配备防滑脚垫，确保骑行时稳固不晃动。</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76250"/>
                      <wp:effectExtent l="0" t="0" r="9525" b="11430"/>
                      <wp:docPr id="92" name="图片 97" descr="IMG_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97" descr="IMG_352"/>
                              <pic:cNvPicPr>
                                <a:picLocks noChangeAspect="1"/>
                              </pic:cNvPicPr>
                              <pic:nvPr/>
                            </pic:nvPicPr>
                            <pic:blipFill>
                              <a:blip r:embed="rId98"/>
                              <a:stretch/>
                            </pic:blipFill>
                            <pic:spPr bwMode="auto">
                              <a:xfrm>
                                <a:off x="0" y="0"/>
                                <a:ext cx="523875"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41.2pt;height:37.5pt;mso-wrap-distance-left:0.0pt;mso-wrap-distance-top:0.0pt;mso-wrap-distance-right:0.0pt;mso-wrap-distance-bottom:0.0pt;" stroked="f" strokeweight="0.75pt">
                      <v:path textboxrect="0,0,0,0"/>
                      <v:imagedata r:id="rId98"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卷腹器</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整体尺寸：设备长 × 宽 × 高尺寸控制在 [120 - 150] cm×[50 - 70] cm×[60 - 80] cm，误差不超过 ±2cm，方便在健身房、家庭等空间放置；部分型号可设计为折叠式，折叠后厚度不超过 15cm，便于收纳 。</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有效锻炼区域：卷腹板面长度不小于100cm，宽度不小于 40cm，为用户提供充足的锻炼空间；板面倾斜角度调节范围为 0 - 45°，以满足不同训练强度需求。</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框架材质：采用高强度钢材，钢材屈服强度不低于 345MPa，厚度不小于 2.5mm，确保框架稳固，承重能力不低于 150kg；钢材表面经脱脂、酸洗、磷化、静电喷塑处理，涂层厚度不小于 80μm，通过 48 小时盐雾测试，具备防锈、防腐蚀性能。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板面材质：板面采用高密度工程塑料或优质皮革材质，若为皮革材质需符合 GB 18585 - 2017《室内装饰装修材料 人造革有害物质限量》标准，无异味；内部填充高密度海绵，厚度不小于 3cm，提供舒适的支撑和缓冲效果。</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连接部件材质：关键连接部件如转轴、螺栓等采用不锈钢材质，具有良好的耐磨性和抗腐蚀性，保证设备长期使用不易损坏。</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角度调节功能：具备多档角度调节装置，调节档位不少于 5 档，调节过程需平稳、顺畅，且调节后能牢固锁定，确保用户在锻炼时板面不会晃动或自动移位。</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防滑设计：板面表面设计有防滑纹理或覆盖防滑垫，防止用户在锻炼过程中身体滑动；设备底部四角安装防滑橡胶脚垫，尺寸不小于 5cm×5cm，厚度不小于 1cm，增加与地面的摩擦力，保证使用时设备稳固。</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57200"/>
                      <wp:effectExtent l="0" t="0" r="9525" b="0"/>
                      <wp:docPr id="93" name="图片 98" descr="IMG_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8" descr="IMG_353"/>
                              <pic:cNvPicPr>
                                <a:picLocks noChangeAspect="1"/>
                              </pic:cNvPicPr>
                              <pic:nvPr/>
                            </pic:nvPicPr>
                            <pic:blipFill>
                              <a:blip r:embed="rId99"/>
                              <a:stretch/>
                            </pic:blipFill>
                            <pic:spPr bwMode="auto">
                              <a:xfrm>
                                <a:off x="0" y="0"/>
                                <a:ext cx="523875"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41.2pt;height:36.0pt;mso-wrap-distance-left:0.0pt;mso-wrap-distance-top:0.0pt;mso-wrap-distance-right:0.0pt;mso-wrap-distance-bottom:0.0pt;" stroked="f" strokeweight="0.75pt">
                      <v:path textboxrect="0,0,0,0"/>
                      <v:imagedata r:id="rId99"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台球桌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标准尺寸球桌，台面材质：采用优质天然石板，如砚石板或青石板，石板厚度不小于 25mm，密度不低于 2.7g/cm</w:t>
            </w:r>
            <w:r>
              <w:rPr>
                <w:rStyle w:val="863"/>
                <w:b w:val="0"/>
                <w:bCs w:val="0"/>
                <w:sz w:val="18"/>
                <w:szCs w:val="18"/>
                <w:lang w:val="en-US" w:eastAsia="zh-CN" w:bidi="ar"/>
              </w:rPr>
              <w:t xml:space="preserve">³</w:t>
            </w:r>
            <w:r>
              <w:rPr>
                <w:rStyle w:val="868"/>
                <w:b w:val="0"/>
                <w:bCs w:val="0"/>
                <w:sz w:val="18"/>
                <w:szCs w:val="18"/>
                <w:lang w:val="en-US" w:eastAsia="zh-CN" w:bidi="ar"/>
              </w:rPr>
              <w:t xml:space="preserve">，硬度达到莫氏硬度 3.5 - 4 级；石板需经过精细研磨处理，表面粗糙度 Ra≤0.8μm，确保球在台面上滚动平稳、顺畅，无跳球、变向等现象。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台</w:t>
            </w:r>
            <w:r>
              <w:rPr>
                <w:rStyle w:val="868"/>
                <w:rFonts w:hint="eastAsia"/>
                <w:b w:val="0"/>
                <w:bCs w:val="0"/>
                <w:sz w:val="18"/>
                <w:szCs w:val="18"/>
                <w:lang w:val="en-US" w:eastAsia="zh-CN" w:bidi="ar"/>
              </w:rPr>
              <w:t xml:space="preserve">呢</w:t>
            </w:r>
            <w:r>
              <w:rPr>
                <w:rStyle w:val="868"/>
                <w:b w:val="0"/>
                <w:bCs w:val="0"/>
                <w:sz w:val="18"/>
                <w:szCs w:val="18"/>
                <w:lang w:val="en-US" w:eastAsia="zh-CN" w:bidi="ar"/>
              </w:rPr>
              <w:t xml:space="preserve">材质：选用专业台球桌呢，如纯羊毛顺毛台呢，绒毛长度 1.5 - 2mm，克重不低于 680g/㎡；台呢需具备良好的耐磨性、顺滑性，保证球的滚动速度均匀，且色泽均匀、无色差、无起球现象。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库边材质：库边采用优质橡胶，如比利时进口橡胶，硬度为邵氏 A 硬度 75 - 80 度，弹性适中；库边胶条与石板贴合紧密，无缝隙，反弹系数在 0.85 - 0.9 之间，确保击球后球的反弹角度准确。</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框架材质：框架采用高强度实木，如枫木或橡木，木材含水率控制在 8% - 12%，防止变形、开裂；木材表面经防腐、防虫处理，框架结构稳固，承重能力不低于 500kg。</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石板拼接：台面若由多块石板拼接而成，拼接处需采用高精度磨边工艺，拼接缝隙不超过 0.3mm，且拼接后整体台面平整度符合要求；石板拼接处需用专用胶水粘合，确保牢固，无松动、位移现象。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台呢铺设：台呢需采用专业拉伸工艺铺设，确保平整、无褶皱；台呢与石板、库边固定牢固，边缘处采用包边工艺，包边线条整齐、美观，无毛刺、翘起等现象。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库边安装：库边与框架安装紧密，螺丝固定均匀，无松动；库边表面平整，与台面过渡自然，无明显台阶或凸起。</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调平系统：台球桌配备可调节水平的脚架，每个桌腿底部均设有调平螺栓，调节范围不小于 20mm，方便在不同地面环境下调整台球桌水平度；调平后，台球桌稳固，无晃动现象。</w:t>
            </w:r>
            <w:r>
              <w:rPr>
                <w:rStyle w:val="869"/>
                <w:rFonts w:eastAsia="黑体"/>
                <w:b w:val="0"/>
                <w:bCs w:val="0"/>
                <w:sz w:val="18"/>
                <w:szCs w:val="18"/>
                <w:lang w:val="en-US" w:eastAsia="zh-CN" w:bidi="ar"/>
              </w:rPr>
              <w:t xml:space="preserve">​</w:t>
            </w:r>
            <w:r>
              <w:rPr>
                <w:rStyle w:val="868"/>
                <w:b w:val="0"/>
                <w:bCs w:val="0"/>
                <w:sz w:val="18"/>
                <w:szCs w:val="18"/>
                <w:lang w:val="en-US" w:eastAsia="zh-CN" w:bidi="ar"/>
              </w:rPr>
              <w:t xml:space="preserve">从地面到台面库边顶部高度为 851mm - 876mm，误差不超过 ±3mm，确保符合人体工程学。</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28625"/>
                      <wp:effectExtent l="0" t="0" r="9525" b="13335"/>
                      <wp:docPr id="94" name="图片 99" descr="IMG_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99" descr="IMG_354"/>
                              <pic:cNvPicPr>
                                <a:picLocks noChangeAspect="1"/>
                              </pic:cNvPicPr>
                              <pic:nvPr/>
                            </pic:nvPicPr>
                            <pic:blipFill>
                              <a:blip r:embed="rId100"/>
                              <a:stretch/>
                            </pic:blipFill>
                            <pic:spPr bwMode="auto">
                              <a:xfrm>
                                <a:off x="0" y="0"/>
                                <a:ext cx="5238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41.2pt;height:33.8pt;mso-wrap-distance-left:0.0pt;mso-wrap-distance-top:0.0pt;mso-wrap-distance-right:0.0pt;mso-wrap-distance-bottom:0.0pt;" stroked="f" strokeweight="0.75pt">
                      <v:path textboxrect="0,0,0,0"/>
                      <v:imagedata r:id="rId100"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18"/>
                <w:szCs w:val="18"/>
                <w:u w:val="none"/>
                <w:lang w:val="en-US"/>
              </w:rPr>
              <w:suppressLineNumbers w:val="0"/>
            </w:pPr>
            <w:r>
              <w:rPr>
                <w:rFonts w:hint="eastAsia" w:ascii="黑体" w:hAnsi="宋体" w:eastAsia="黑体" w:cs="黑体"/>
                <w:b w:val="0"/>
                <w:bCs w:val="0"/>
                <w:i w:val="0"/>
                <w:iCs w:val="0"/>
                <w:color w:val="000000"/>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乒乓球桌</w:t>
            </w:r>
            <w:r/>
          </w:p>
        </w:tc>
        <w:tc>
          <w:tcPr>
            <w:shd w:val="clear" w:color="auto" w:fill="auto"/>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Style w:val="868"/>
                <w:rFonts w:hint="eastAsia"/>
                <w:b w:val="0"/>
                <w:bCs w:val="0"/>
                <w:sz w:val="18"/>
                <w:szCs w:val="18"/>
                <w:lang w:val="en-US" w:eastAsia="zh-CN" w:bidi="ar"/>
              </w:rPr>
              <w:t xml:space="preserve">1.</w:t>
            </w:r>
            <w:r>
              <w:rPr>
                <w:rStyle w:val="868"/>
                <w:b w:val="0"/>
                <w:bCs w:val="0"/>
                <w:sz w:val="18"/>
                <w:szCs w:val="18"/>
                <w:lang w:val="en-US" w:eastAsia="zh-CN" w:bidi="ar"/>
              </w:rPr>
              <w:t xml:space="preserve">台面尺寸：乒乓球桌台面尺寸为 2740mm×1525mm，误差不超过 ±3mm，确保符合国际乒联（ITTF）标准；台面厚度不小于 18mm，以保证击球时的弹性和稳定性。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2.</w:t>
            </w:r>
            <w:r>
              <w:rPr>
                <w:rStyle w:val="868"/>
                <w:b w:val="0"/>
                <w:bCs w:val="0"/>
                <w:sz w:val="18"/>
                <w:szCs w:val="18"/>
                <w:lang w:val="en-US" w:eastAsia="zh-CN" w:bidi="ar"/>
              </w:rPr>
              <w:t xml:space="preserve">整体高度：台面离地面高度为 760mm，误差不超过 ±2mm，满足运动员的标准击球高度需求，保证比赛和训练的规范性。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3.</w:t>
            </w:r>
            <w:r>
              <w:rPr>
                <w:rStyle w:val="868"/>
                <w:b w:val="0"/>
                <w:bCs w:val="0"/>
                <w:sz w:val="18"/>
                <w:szCs w:val="18"/>
                <w:lang w:val="en-US" w:eastAsia="zh-CN" w:bidi="ar"/>
              </w:rPr>
              <w:t xml:space="preserve">球网规格：球网装置包括球网、悬网绳、网柱及将它们固定在球台上的夹钳部分。球网应悬挂在一根绳子上，绳子两端系在高 15.25cm 的直立网柱上，网柱外缘离开边线外缘的距离为 15.25cm；整个球网的顶端距离比赛台面 15.25cm，球网的底边应尽量贴近比赛台面，其两端应尽量贴近网柱，误差均不超过 ±1mm。</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4.</w:t>
            </w:r>
            <w:r>
              <w:rPr>
                <w:rStyle w:val="868"/>
                <w:b w:val="0"/>
                <w:bCs w:val="0"/>
                <w:sz w:val="18"/>
                <w:szCs w:val="18"/>
                <w:lang w:val="en-US" w:eastAsia="zh-CN" w:bidi="ar"/>
              </w:rPr>
              <w:t xml:space="preserve">台面材质：采用优质中密度纤维板（MDF）或实木颗粒板，板材需符合 GB/T 11718 - 2009《中密度纤维板》或相关国家标准，甲醛释放量达到 E1 级（≤0.124mg/m</w:t>
            </w:r>
            <w:r>
              <w:rPr>
                <w:rStyle w:val="863"/>
                <w:b w:val="0"/>
                <w:bCs w:val="0"/>
                <w:sz w:val="18"/>
                <w:szCs w:val="18"/>
                <w:lang w:val="en-US" w:eastAsia="zh-CN" w:bidi="ar"/>
              </w:rPr>
              <w:t xml:space="preserve">³</w:t>
            </w:r>
            <w:r>
              <w:rPr>
                <w:rStyle w:val="868"/>
                <w:b w:val="0"/>
                <w:bCs w:val="0"/>
                <w:sz w:val="18"/>
                <w:szCs w:val="18"/>
                <w:lang w:val="en-US" w:eastAsia="zh-CN" w:bidi="ar"/>
              </w:rPr>
              <w:t xml:space="preserve">），保障使用安全；表面经特殊涂层处理，涂层厚度不小于 0.3mm，具备良好的耐磨性、耐刮性和防滑性，同时确保台面色泽均匀，无气泡、划痕、流挂等缺陷。</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5.</w:t>
            </w:r>
            <w:r>
              <w:rPr>
                <w:rStyle w:val="868"/>
                <w:b w:val="0"/>
                <w:bCs w:val="0"/>
                <w:sz w:val="18"/>
                <w:szCs w:val="18"/>
                <w:lang w:val="en-US" w:eastAsia="zh-CN" w:bidi="ar"/>
              </w:rPr>
              <w:t xml:space="preserve">框架材质：框架采用高强度钢材，钢材厚度不小于 2mm，屈服强度不低于 235MPa，确保结构稳固，承重能力不低于 200kg；钢材表面经脱脂、酸洗、磷化、静电喷塑处理，涂层厚度不小于 80μm，通过 48 小时盐雾测试，具备防锈、防腐蚀性能。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6.</w:t>
            </w:r>
            <w:r>
              <w:rPr>
                <w:rStyle w:val="868"/>
                <w:b w:val="0"/>
                <w:bCs w:val="0"/>
                <w:sz w:val="18"/>
                <w:szCs w:val="18"/>
                <w:lang w:val="en-US" w:eastAsia="zh-CN" w:bidi="ar"/>
              </w:rPr>
              <w:t xml:space="preserve">球网材质：球网采用优质尼龙或金属丝编织而成，网孔大小均匀，网线粗细一致，确保球在穿过球网时不会卡顿；网柱和夹钳部分采用不锈钢或高强度工程塑料材质，表面光滑，无毛刺，且具备良好的抗撞击和耐磨损性能。</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7.</w:t>
            </w:r>
            <w:r>
              <w:rPr>
                <w:rStyle w:val="868"/>
                <w:b w:val="0"/>
                <w:bCs w:val="0"/>
                <w:sz w:val="18"/>
                <w:szCs w:val="18"/>
                <w:lang w:val="en-US" w:eastAsia="zh-CN" w:bidi="ar"/>
              </w:rPr>
              <w:t xml:space="preserve">台面弹性：在台面中央 305mm 处放置标准乒乓球，使其自由下落，弹起高度应在 230 - 260mm 之间，误差不超过 ±5mm，且台面各点弹性误差不超过 10mm，保证击球手感的一致性。</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8.</w:t>
            </w:r>
            <w:r>
              <w:rPr>
                <w:rStyle w:val="868"/>
                <w:b w:val="0"/>
                <w:bCs w:val="0"/>
                <w:sz w:val="18"/>
                <w:szCs w:val="18"/>
                <w:lang w:val="en-US" w:eastAsia="zh-CN" w:bidi="ar"/>
              </w:rPr>
              <w:t xml:space="preserve">摩擦系数：台面摩擦系数不大于 0.6，确保乒乓球在台面上滚动顺畅，同时防止运动员在击球时因摩擦力过大或过小而影响发挥。</w:t>
            </w:r>
            <w:r>
              <w:rPr>
                <w:rStyle w:val="869"/>
                <w:rFonts w:eastAsia="黑体"/>
                <w:b w:val="0"/>
                <w:bCs w:val="0"/>
                <w:sz w:val="18"/>
                <w:szCs w:val="18"/>
                <w:lang w:val="en-US" w:eastAsia="zh-CN" w:bidi="ar"/>
              </w:rPr>
              <w:t xml:space="preserve">​</w:t>
            </w:r>
            <w:r>
              <w:rPr>
                <w:rStyle w:val="868"/>
                <w:b w:val="0"/>
                <w:bCs w:val="0"/>
                <w:sz w:val="18"/>
                <w:szCs w:val="18"/>
                <w:lang w:val="en-US" w:eastAsia="zh-CN" w:bidi="ar"/>
              </w:rPr>
              <w:br/>
            </w:r>
            <w:r>
              <w:rPr>
                <w:rStyle w:val="868"/>
                <w:rFonts w:hint="eastAsia"/>
                <w:b w:val="0"/>
                <w:bCs w:val="0"/>
                <w:sz w:val="18"/>
                <w:szCs w:val="18"/>
                <w:lang w:val="en-US" w:eastAsia="zh-CN" w:bidi="ar"/>
              </w:rPr>
              <w:t xml:space="preserve">9.</w:t>
            </w:r>
            <w:r>
              <w:rPr>
                <w:rStyle w:val="868"/>
                <w:b w:val="0"/>
                <w:bCs w:val="0"/>
                <w:sz w:val="18"/>
                <w:szCs w:val="18"/>
                <w:lang w:val="en-US" w:eastAsia="zh-CN" w:bidi="ar"/>
              </w:rPr>
              <w:t xml:space="preserve">稳定性：乒乓球桌需具备良好的稳定性，在正常使用过程中无晃动现象。桌腿底部配备可调节脚垫，调节范围不小于 10mm，以适应不同地面平整度，确保台面水平，调节后桌腿与地面接触紧密，无悬空。</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523875" cy="428625"/>
                      <wp:effectExtent l="0" t="0" r="9525" b="13335"/>
                      <wp:docPr id="95" name="图片 100" descr="IMG_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00" descr="IMG_355"/>
                              <pic:cNvPicPr>
                                <a:picLocks noChangeAspect="1"/>
                              </pic:cNvPicPr>
                              <pic:nvPr/>
                            </pic:nvPicPr>
                            <pic:blipFill>
                              <a:blip r:embed="rId101"/>
                              <a:stretch/>
                            </pic:blipFill>
                            <pic:spPr bwMode="auto">
                              <a:xfrm>
                                <a:off x="0" y="0"/>
                                <a:ext cx="5238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41.2pt;height:33.8pt;mso-wrap-distance-left:0.0pt;mso-wrap-distance-top:0.0pt;mso-wrap-distance-right:0.0pt;mso-wrap-distance-bottom:0.0pt;" stroked="f" strokeweight="0.75pt">
                      <v:path textboxrect="0,0,0,0"/>
                      <v:imagedata r:id="rId101" o:title=""/>
                    </v:shape>
                  </w:pict>
                </mc:Fallback>
              </mc:AlternateContent>
            </w:r>
            <w:r/>
          </w:p>
        </w:tc>
      </w:tr>
    </w:tbl>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附件1：图书花名册（每类各40本，合计280本）</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b/>
          <w:bCs/>
          <w:color w:val="000000"/>
          <w:sz w:val="24"/>
          <w:szCs w:val="24"/>
          <w:highlight w:val="none"/>
          <w:lang w:val="en-US" w:eastAsia="zh-CN"/>
        </w:rPr>
        <w:t xml:space="preserve">军事类</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《孙子兵法》、《战争论》、《制空权》、《第二次世界大战战史》、《DK军事历史大百科》、《别告诉我你懂军事.枪械篇》、《中国世界兵器大百科书》、《海权论》、《毛泽东军事文集》、《世界军事》</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b/>
          <w:bCs/>
          <w:color w:val="000000"/>
          <w:sz w:val="24"/>
          <w:szCs w:val="24"/>
          <w:highlight w:val="none"/>
          <w:lang w:val="en-US" w:eastAsia="zh-CN"/>
        </w:rPr>
        <w:t xml:space="preserve">经济类</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《经济学原理》、《第三次工业革命》、《投资学》、《魔鬼经济学》、《经济学百科》、《巴菲特至股东的信》、《聪明的投资者》、《投资中最简单的事》、《资本的秘密》、《经济学的思维方式》</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b/>
          <w:bCs/>
          <w:color w:val="000000"/>
          <w:sz w:val="24"/>
          <w:szCs w:val="24"/>
          <w:highlight w:val="none"/>
          <w:lang w:val="en-US" w:eastAsia="zh-CN"/>
        </w:rPr>
        <w:t xml:space="preserve">文学类</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《呐喊》、《朝花夕拾》、《狂人日记》、《阿Q正传》、《骆驼祥子》、《边城》、《父与子》、《双城记》、《罪与罚》、《西厢记》</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b/>
          <w:bCs/>
          <w:color w:val="000000"/>
          <w:sz w:val="24"/>
          <w:szCs w:val="24"/>
          <w:highlight w:val="none"/>
          <w:lang w:val="en-US" w:eastAsia="zh-CN"/>
        </w:rPr>
        <w:t xml:space="preserve">法律类</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《法治的细节》、《法律常识一本通》、《中国宪法实施和监督研究》、《法社会学信札》、《是非与曲折》、《民法典》、《忏悔录》、《理想国》、《民事诉讼法》、《法律的悖论》</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政治</w:t>
      </w:r>
      <w:r>
        <w:rPr>
          <w:rFonts w:hint="default" w:ascii="宋体" w:hAnsi="宋体" w:eastAsia="宋体" w:cs="宋体"/>
          <w:b/>
          <w:bCs/>
          <w:color w:val="000000"/>
          <w:sz w:val="24"/>
          <w:szCs w:val="24"/>
          <w:highlight w:val="none"/>
          <w:lang w:val="en-US" w:eastAsia="zh-CN"/>
        </w:rPr>
        <w:t xml:space="preserve">类</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《习近平谈国理论》、《毛泽东选节》、《社会契约论》、《政府论》、《当代中国政治》、《政治秩序的起源》、《习近平系列必学书籍》、《盐铁论》、《君主论》、《资治通签》</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b/>
          <w:bCs/>
          <w:color w:val="000000"/>
          <w:sz w:val="24"/>
          <w:szCs w:val="24"/>
          <w:highlight w:val="none"/>
          <w:lang w:val="en-US" w:eastAsia="zh-CN"/>
        </w:rPr>
        <w:t xml:space="preserve">科学类</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《科学百科》、《物种起源》、《宇宙简史》、《昆虫记》、《时间简史》、《生命是什么》、《世界未解之谜》、《十万个为什么》、《科学的反革命》、《带你走进化学世界》</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default" w:ascii="宋体" w:hAnsi="宋体" w:eastAsia="宋体" w:cs="宋体"/>
          <w:b/>
          <w:bCs/>
          <w:color w:val="000000"/>
          <w:sz w:val="24"/>
          <w:szCs w:val="24"/>
          <w:highlight w:val="none"/>
          <w:lang w:val="en-US" w:eastAsia="zh-CN"/>
        </w:rPr>
        <w:t xml:space="preserve">农业类</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《中国农业史》、《农村经济学》、《农村与农民研究》、《齐民要术》、《农政全书》、《改造传统农业》、《中国特色农业》、《农业圣典》、《四千年农夫》、《中国农业问题研究》</w:t>
      </w:r>
      <w:r/>
    </w:p>
    <w:p>
      <w:pPr>
        <w:numPr>
          <w:ilvl w:val="0"/>
          <w:numId w:val="0"/>
        </w:numPr>
        <w:ind w:firstLine="480"/>
        <w:keepLines w:val="0"/>
        <w:keepNext w:val="0"/>
        <w:pageBreakBefore w:val="0"/>
        <w:spacing w:line="360" w:lineRule="auto"/>
        <w:widowControl w:val="off"/>
        <w:rPr>
          <w:rFonts w:hint="default"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注：实际采购过程中，各专业书籍花名册可以微调，调整花名册须征得甲方同意。</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r>
      <w:r/>
    </w:p>
    <w:p>
      <w:pPr>
        <w:pStyle w:val="846"/>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171" w:name="_Toc120614281"/>
      <w:r/>
      <w:r/>
    </w:p>
    <w:p>
      <w:pPr>
        <w:pStyle w:val="846"/>
        <w:jc w:val="both"/>
        <w:spacing w:beforeAutospacing="0" w:afterAutospacing="0"/>
        <w:rPr>
          <w:rFonts w:hint="eastAsia" w:ascii="宋体" w:hAnsi="宋体" w:eastAsia="宋体" w:cs="宋体"/>
          <w:sz w:val="24"/>
          <w:szCs w:val="24"/>
          <w:highlight w:val="none"/>
        </w:rPr>
      </w:pPr>
      <w:r>
        <w:rPr>
          <w:rFonts w:hint="eastAsia"/>
          <w:b/>
          <w:bCs/>
          <w:sz w:val="24"/>
          <w:szCs w:val="24"/>
          <w:highlight w:val="none"/>
          <w:lang w:val="en-US" w:eastAsia="zh-CN"/>
        </w:rPr>
        <w:t xml:space="preserve">包件二</w:t>
      </w:r>
      <w:r>
        <w:rPr>
          <w:rFonts w:hint="eastAsia"/>
          <w:b/>
          <w:bCs/>
          <w:sz w:val="24"/>
          <w:szCs w:val="24"/>
          <w:highlight w:val="none"/>
        </w:rPr>
        <w:t xml:space="preserve">采购标的所属行业</w:t>
      </w:r>
      <w:r>
        <w:rPr>
          <w:rFonts w:hint="eastAsia" w:eastAsiaTheme="minorEastAsia"/>
          <w:b/>
          <w:bCs/>
          <w:sz w:val="24"/>
          <w:szCs w:val="24"/>
          <w:highlight w:val="none"/>
          <w:lang w:eastAsia="zh-CN"/>
        </w:rPr>
        <w:t xml:space="preserve">：</w:t>
      </w:r>
      <w:r>
        <w:rPr>
          <w:rFonts w:hint="eastAsia"/>
          <w:b/>
          <w:bCs/>
          <w:sz w:val="24"/>
          <w:szCs w:val="24"/>
          <w:highlight w:val="none"/>
          <w:u w:val="single"/>
          <w:lang w:val="en-US" w:eastAsia="zh-CN"/>
        </w:rPr>
        <w:t xml:space="preserve">工业</w:t>
      </w:r>
      <w:r>
        <w:rPr>
          <w:rFonts w:hint="eastAsia" w:eastAsiaTheme="minorEastAsia"/>
          <w:b/>
          <w:bCs/>
          <w:sz w:val="24"/>
          <w:szCs w:val="24"/>
          <w:highlight w:val="none"/>
          <w:u w:val="none"/>
          <w:lang w:eastAsia="zh-CN"/>
        </w:rPr>
        <w:t xml:space="preserve">。</w:t>
      </w:r>
      <w:r/>
    </w:p>
    <w:p>
      <w:pPr>
        <w:pStyle w:val="846"/>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837"/>
        <w:tblW w:w="10222" w:type="dxa"/>
        <w:tblInd w:w="-26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3"/>
        <w:gridCol w:w="1288"/>
        <w:gridCol w:w="5172"/>
        <w:gridCol w:w="732"/>
        <w:gridCol w:w="684"/>
        <w:gridCol w:w="1463"/>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172" w:type="dxa"/>
            <w:vAlign w:val="center"/>
            <w:textDirection w:val="lrTb"/>
            <w:noWrap w:val="false"/>
          </w:tcPr>
          <w:p>
            <w:pPr>
              <w:jc w:val="center"/>
              <w:keepLines w:val="0"/>
              <w:keepNext w:val="0"/>
              <w:widowControl/>
              <w:rPr>
                <w:rStyle w:val="868"/>
                <w:rFonts w:hint="default"/>
                <w:b w:val="0"/>
                <w:bCs w:val="0"/>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参考图片</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大2匹挂机</w:t>
            </w:r>
            <w:r/>
          </w:p>
        </w:tc>
        <w:tc>
          <w:tcPr>
            <w:shd w:val="clear" w:color="auto" w:fill="auto"/>
            <w:tcBorders>
              <w:top w:val="single" w:color="000000" w:sz="4" w:space="0"/>
              <w:left w:val="single" w:color="000000" w:sz="4" w:space="0"/>
              <w:bottom w:val="single" w:color="000000" w:sz="4" w:space="0"/>
              <w:right w:val="single" w:color="000000" w:sz="4" w:space="0"/>
            </w:tcBorders>
            <w:tcW w:w="5172" w:type="dxa"/>
            <w:vAlign w:val="center"/>
            <w:textDirection w:val="lrTb"/>
            <w:noWrap w:val="false"/>
          </w:tcPr>
          <w:p>
            <w:pPr>
              <w:numPr>
                <w:ilvl w:val="0"/>
                <w:numId w:val="0"/>
              </w:numPr>
              <w:jc w:val="left"/>
              <w:keepLines w:val="0"/>
              <w:keepNext w:val="0"/>
              <w:widowControl/>
              <w:rPr>
                <w:rStyle w:val="868"/>
                <w:b w:val="0"/>
                <w:bCs w:val="0"/>
                <w:lang w:val="en-US" w:eastAsia="zh-CN" w:bidi="ar"/>
              </w:rPr>
              <w:suppressLineNumbers w:val="0"/>
            </w:pPr>
            <w:r>
              <w:rPr>
                <w:rStyle w:val="868"/>
                <w:rFonts w:hint="eastAsia"/>
                <w:b w:val="0"/>
                <w:bCs w:val="0"/>
                <w:lang w:val="en-US" w:eastAsia="zh-CN" w:bidi="ar"/>
              </w:rPr>
              <w:t xml:space="preserve">1.</w:t>
            </w:r>
            <w:r>
              <w:rPr>
                <w:rStyle w:val="868"/>
                <w:b w:val="0"/>
                <w:bCs w:val="0"/>
                <w:lang w:val="en-US" w:eastAsia="zh-CN" w:bidi="ar"/>
              </w:rPr>
              <w:t xml:space="preserve">电源规格:220V；</w:t>
            </w:r>
            <w:r>
              <w:rPr>
                <w:rStyle w:val="868"/>
                <w:b w:val="0"/>
                <w:bCs w:val="0"/>
                <w:lang w:val="en-US" w:eastAsia="zh-CN" w:bidi="ar"/>
              </w:rPr>
              <w:br/>
            </w:r>
            <w:r>
              <w:rPr>
                <w:rStyle w:val="868"/>
                <w:b w:val="0"/>
                <w:bCs w:val="0"/>
                <w:lang w:val="en-US" w:eastAsia="zh-CN" w:bidi="ar"/>
              </w:rPr>
              <w:t xml:space="preserve">2</w:t>
            </w:r>
            <w:r>
              <w:rPr>
                <w:rStyle w:val="868"/>
                <w:rFonts w:hint="eastAsia"/>
                <w:b w:val="0"/>
                <w:bCs w:val="0"/>
                <w:lang w:val="en-US" w:eastAsia="zh-CN" w:bidi="ar"/>
              </w:rPr>
              <w:t xml:space="preserve">.</w:t>
            </w:r>
            <w:r>
              <w:rPr>
                <w:rStyle w:val="868"/>
                <w:b w:val="0"/>
                <w:bCs w:val="0"/>
                <w:lang w:val="en-US" w:eastAsia="zh-CN" w:bidi="ar"/>
              </w:rPr>
              <w:t xml:space="preserve">能效等级三级；</w:t>
            </w:r>
            <w:r>
              <w:rPr>
                <w:rStyle w:val="868"/>
                <w:b w:val="0"/>
                <w:bCs w:val="0"/>
                <w:lang w:val="en-US" w:eastAsia="zh-CN" w:bidi="ar"/>
              </w:rPr>
              <w:br/>
            </w:r>
            <w:r>
              <w:rPr>
                <w:rStyle w:val="868"/>
                <w:b w:val="0"/>
                <w:bCs w:val="0"/>
                <w:lang w:val="en-US" w:eastAsia="zh-CN" w:bidi="ar"/>
              </w:rPr>
              <w:t xml:space="preserve">3</w:t>
            </w:r>
            <w:r>
              <w:rPr>
                <w:rStyle w:val="868"/>
                <w:rFonts w:hint="eastAsia"/>
                <w:b w:val="0"/>
                <w:bCs w:val="0"/>
                <w:lang w:val="en-US" w:eastAsia="zh-CN" w:bidi="ar"/>
              </w:rPr>
              <w:t xml:space="preserve">.</w:t>
            </w:r>
            <w:r>
              <w:rPr>
                <w:rStyle w:val="868"/>
                <w:b w:val="0"/>
                <w:bCs w:val="0"/>
                <w:lang w:val="en-US" w:eastAsia="zh-CN" w:bidi="ar"/>
              </w:rPr>
              <w:t xml:space="preserve">额定制冷量≥5020W；</w:t>
            </w:r>
            <w:r>
              <w:rPr>
                <w:rStyle w:val="868"/>
                <w:b w:val="0"/>
                <w:bCs w:val="0"/>
                <w:lang w:val="en-US" w:eastAsia="zh-CN" w:bidi="ar"/>
              </w:rPr>
              <w:br/>
            </w:r>
            <w:r>
              <w:rPr>
                <w:rStyle w:val="868"/>
                <w:b w:val="0"/>
                <w:bCs w:val="0"/>
                <w:lang w:val="en-US" w:eastAsia="zh-CN" w:bidi="ar"/>
              </w:rPr>
              <w:t xml:space="preserve">4</w:t>
            </w:r>
            <w:r>
              <w:rPr>
                <w:rStyle w:val="868"/>
                <w:rFonts w:hint="eastAsia"/>
                <w:b w:val="0"/>
                <w:bCs w:val="0"/>
                <w:lang w:val="en-US" w:eastAsia="zh-CN" w:bidi="ar"/>
              </w:rPr>
              <w:t xml:space="preserve">.</w:t>
            </w:r>
            <w:r>
              <w:rPr>
                <w:rStyle w:val="868"/>
                <w:b w:val="0"/>
                <w:bCs w:val="0"/>
                <w:lang w:val="en-US" w:eastAsia="zh-CN" w:bidi="ar"/>
              </w:rPr>
              <w:t xml:space="preserve">额定制热量≥</w:t>
            </w:r>
            <w:r>
              <w:rPr>
                <w:rStyle w:val="868"/>
                <w:rFonts w:hint="eastAsia"/>
                <w:b w:val="0"/>
                <w:bCs w:val="0"/>
                <w:lang w:val="en-US" w:eastAsia="zh-CN" w:bidi="ar"/>
              </w:rPr>
              <w:t xml:space="preserve">6660</w:t>
            </w:r>
            <w:r>
              <w:rPr>
                <w:rStyle w:val="868"/>
                <w:b w:val="0"/>
                <w:bCs w:val="0"/>
                <w:lang w:val="en-US" w:eastAsia="zh-CN" w:bidi="ar"/>
              </w:rPr>
              <w:t xml:space="preserve">W；</w:t>
            </w:r>
            <w:r>
              <w:rPr>
                <w:rStyle w:val="868"/>
                <w:b w:val="0"/>
                <w:bCs w:val="0"/>
                <w:lang w:val="en-US" w:eastAsia="zh-CN" w:bidi="ar"/>
              </w:rPr>
              <w:br/>
            </w:r>
            <w:r>
              <w:rPr>
                <w:rStyle w:val="868"/>
                <w:b w:val="0"/>
                <w:bCs w:val="0"/>
                <w:lang w:val="en-US" w:eastAsia="zh-CN" w:bidi="ar"/>
              </w:rPr>
              <w:t xml:space="preserve">5</w:t>
            </w:r>
            <w:r>
              <w:rPr>
                <w:rStyle w:val="868"/>
                <w:rFonts w:hint="eastAsia"/>
                <w:b w:val="0"/>
                <w:bCs w:val="0"/>
                <w:lang w:val="en-US" w:eastAsia="zh-CN" w:bidi="ar"/>
              </w:rPr>
              <w:t xml:space="preserve">.</w:t>
            </w:r>
            <w:r>
              <w:rPr>
                <w:rStyle w:val="868"/>
                <w:b w:val="0"/>
                <w:bCs w:val="0"/>
                <w:lang w:val="en-US" w:eastAsia="zh-CN" w:bidi="ar"/>
              </w:rPr>
              <w:t xml:space="preserve">额定制冷功率≤</w:t>
            </w:r>
            <w:r>
              <w:rPr>
                <w:rStyle w:val="868"/>
                <w:rFonts w:hint="eastAsia"/>
                <w:b w:val="0"/>
                <w:bCs w:val="0"/>
                <w:lang w:val="en-US" w:eastAsia="zh-CN" w:bidi="ar"/>
              </w:rPr>
              <w:t xml:space="preserve">1500</w:t>
            </w:r>
            <w:r>
              <w:rPr>
                <w:rStyle w:val="868"/>
                <w:b w:val="0"/>
                <w:bCs w:val="0"/>
                <w:lang w:val="en-US" w:eastAsia="zh-CN" w:bidi="ar"/>
              </w:rPr>
              <w:t xml:space="preserve">W；</w:t>
            </w:r>
            <w:r>
              <w:rPr>
                <w:rStyle w:val="868"/>
                <w:b w:val="0"/>
                <w:bCs w:val="0"/>
                <w:lang w:val="en-US" w:eastAsia="zh-CN" w:bidi="ar"/>
              </w:rPr>
              <w:br/>
            </w:r>
            <w:r>
              <w:rPr>
                <w:rStyle w:val="868"/>
                <w:b w:val="0"/>
                <w:bCs w:val="0"/>
                <w:lang w:val="en-US" w:eastAsia="zh-CN" w:bidi="ar"/>
              </w:rPr>
              <w:t xml:space="preserve">6</w:t>
            </w:r>
            <w:r>
              <w:rPr>
                <w:rStyle w:val="868"/>
                <w:rFonts w:hint="eastAsia"/>
                <w:b w:val="0"/>
                <w:bCs w:val="0"/>
                <w:lang w:val="en-US" w:eastAsia="zh-CN" w:bidi="ar"/>
              </w:rPr>
              <w:t xml:space="preserve">.</w:t>
            </w:r>
            <w:r>
              <w:rPr>
                <w:rStyle w:val="868"/>
                <w:b w:val="0"/>
                <w:bCs w:val="0"/>
                <w:lang w:val="en-US" w:eastAsia="zh-CN" w:bidi="ar"/>
              </w:rPr>
              <w:t xml:space="preserve">额定制热功率≤</w:t>
            </w:r>
            <w:r>
              <w:rPr>
                <w:rStyle w:val="868"/>
                <w:rFonts w:hint="eastAsia"/>
                <w:b w:val="0"/>
                <w:bCs w:val="0"/>
                <w:lang w:val="en-US" w:eastAsia="zh-CN" w:bidi="ar"/>
              </w:rPr>
              <w:t xml:space="preserve">2140</w:t>
            </w:r>
            <w:r>
              <w:rPr>
                <w:rStyle w:val="868"/>
                <w:b w:val="0"/>
                <w:bCs w:val="0"/>
                <w:lang w:val="en-US" w:eastAsia="zh-CN" w:bidi="ar"/>
              </w:rPr>
              <w:t xml:space="preserve">W;</w:t>
            </w:r>
            <w:r>
              <w:rPr>
                <w:rStyle w:val="868"/>
                <w:b w:val="0"/>
                <w:bCs w:val="0"/>
                <w:lang w:val="en-US" w:eastAsia="zh-CN" w:bidi="ar"/>
              </w:rPr>
              <w:br/>
            </w:r>
            <w:r>
              <w:rPr>
                <w:rStyle w:val="868"/>
                <w:b w:val="0"/>
                <w:bCs w:val="0"/>
                <w:lang w:val="en-US" w:eastAsia="zh-CN" w:bidi="ar"/>
              </w:rPr>
              <w:t xml:space="preserve">7</w:t>
            </w:r>
            <w:r>
              <w:rPr>
                <w:rStyle w:val="868"/>
                <w:rFonts w:hint="eastAsia"/>
                <w:b w:val="0"/>
                <w:bCs w:val="0"/>
                <w:lang w:val="en-US" w:eastAsia="zh-CN" w:bidi="ar"/>
              </w:rPr>
              <w:t xml:space="preserve">.</w:t>
            </w:r>
            <w:r>
              <w:rPr>
                <w:rStyle w:val="868"/>
                <w:b w:val="0"/>
                <w:bCs w:val="0"/>
                <w:lang w:val="en-US" w:eastAsia="zh-CN" w:bidi="ar"/>
              </w:rPr>
              <w:t xml:space="preserve">APF≥</w:t>
            </w:r>
            <w:r>
              <w:rPr>
                <w:rStyle w:val="868"/>
                <w:rFonts w:hint="eastAsia"/>
                <w:b w:val="0"/>
                <w:bCs w:val="0"/>
                <w:lang w:val="en-US" w:eastAsia="zh-CN" w:bidi="ar"/>
              </w:rPr>
              <w:t xml:space="preserve">3.81</w:t>
            </w:r>
            <w:r>
              <w:rPr>
                <w:rStyle w:val="868"/>
                <w:b w:val="0"/>
                <w:bCs w:val="0"/>
                <w:lang w:val="en-US" w:eastAsia="zh-CN" w:bidi="ar"/>
              </w:rPr>
              <w:t xml:space="preserve">；</w:t>
            </w:r>
            <w:r>
              <w:rPr>
                <w:rStyle w:val="868"/>
                <w:b w:val="0"/>
                <w:bCs w:val="0"/>
                <w:lang w:val="en-US" w:eastAsia="zh-CN" w:bidi="ar"/>
              </w:rPr>
              <w:br/>
            </w:r>
            <w:r>
              <w:rPr>
                <w:rStyle w:val="868"/>
                <w:b w:val="0"/>
                <w:bCs w:val="0"/>
                <w:lang w:val="en-US" w:eastAsia="zh-CN" w:bidi="ar"/>
              </w:rPr>
              <w:t xml:space="preserve">8</w:t>
            </w:r>
            <w:r>
              <w:rPr>
                <w:rStyle w:val="868"/>
                <w:rFonts w:hint="eastAsia"/>
                <w:b w:val="0"/>
                <w:bCs w:val="0"/>
                <w:lang w:val="en-US" w:eastAsia="zh-CN" w:bidi="ar"/>
              </w:rPr>
              <w:t xml:space="preserve">.</w:t>
            </w:r>
            <w:r>
              <w:rPr>
                <w:rStyle w:val="868"/>
                <w:b w:val="0"/>
                <w:bCs w:val="0"/>
                <w:lang w:val="en-US" w:eastAsia="zh-CN" w:bidi="ar"/>
              </w:rPr>
              <w:t xml:space="preserve">内机最大噪音≤4</w:t>
            </w:r>
            <w:r>
              <w:rPr>
                <w:rStyle w:val="868"/>
                <w:rFonts w:hint="eastAsia"/>
                <w:b w:val="0"/>
                <w:bCs w:val="0"/>
                <w:lang w:val="en-US" w:eastAsia="zh-CN" w:bidi="ar"/>
              </w:rPr>
              <w:t xml:space="preserve">4</w:t>
            </w:r>
            <w:r>
              <w:rPr>
                <w:rStyle w:val="868"/>
                <w:b w:val="0"/>
                <w:bCs w:val="0"/>
                <w:lang w:val="en-US" w:eastAsia="zh-CN" w:bidi="ar"/>
              </w:rPr>
              <w:t xml:space="preserve">dB；</w:t>
            </w:r>
            <w:r>
              <w:rPr>
                <w:rStyle w:val="868"/>
                <w:b w:val="0"/>
                <w:bCs w:val="0"/>
                <w:lang w:val="en-US" w:eastAsia="zh-CN" w:bidi="ar"/>
              </w:rPr>
              <w:br/>
            </w:r>
            <w:r>
              <w:rPr>
                <w:rStyle w:val="868"/>
                <w:b w:val="0"/>
                <w:bCs w:val="0"/>
                <w:lang w:val="en-US" w:eastAsia="zh-CN" w:bidi="ar"/>
              </w:rPr>
              <w:t xml:space="preserve">9</w:t>
            </w:r>
            <w:r>
              <w:rPr>
                <w:rStyle w:val="868"/>
                <w:rFonts w:hint="eastAsia"/>
                <w:b w:val="0"/>
                <w:bCs w:val="0"/>
                <w:lang w:val="en-US" w:eastAsia="zh-CN" w:bidi="ar"/>
              </w:rPr>
              <w:t xml:space="preserve">.</w:t>
            </w:r>
            <w:r>
              <w:rPr>
                <w:rStyle w:val="868"/>
                <w:b w:val="0"/>
                <w:bCs w:val="0"/>
                <w:lang w:val="en-US" w:eastAsia="zh-CN" w:bidi="ar"/>
              </w:rPr>
              <w:t xml:space="preserve">外机噪音≤53dB；</w:t>
            </w:r>
            <w:r>
              <w:rPr>
                <w:rStyle w:val="868"/>
                <w:b w:val="0"/>
                <w:bCs w:val="0"/>
                <w:lang w:val="en-US" w:eastAsia="zh-CN" w:bidi="ar"/>
              </w:rPr>
              <w:br/>
            </w:r>
            <w:r>
              <w:rPr>
                <w:rStyle w:val="868"/>
                <w:b w:val="0"/>
                <w:bCs w:val="0"/>
                <w:lang w:val="en-US" w:eastAsia="zh-CN" w:bidi="ar"/>
              </w:rPr>
              <w:t xml:space="preserve">10</w:t>
            </w:r>
            <w:r>
              <w:rPr>
                <w:rStyle w:val="868"/>
                <w:rFonts w:hint="eastAsia"/>
                <w:b w:val="0"/>
                <w:bCs w:val="0"/>
                <w:lang w:val="en-US" w:eastAsia="zh-CN" w:bidi="ar"/>
              </w:rPr>
              <w:t xml:space="preserve">.</w:t>
            </w:r>
            <w:r>
              <w:rPr>
                <w:rStyle w:val="868"/>
                <w:b w:val="0"/>
                <w:bCs w:val="0"/>
                <w:lang w:val="en-US" w:eastAsia="zh-CN" w:bidi="ar"/>
              </w:rPr>
              <w:t xml:space="preserve">循环风量≥</w:t>
            </w:r>
            <w:r>
              <w:rPr>
                <w:rStyle w:val="868"/>
                <w:rFonts w:hint="eastAsia"/>
                <w:b w:val="0"/>
                <w:bCs w:val="0"/>
                <w:lang w:val="en-US" w:eastAsia="zh-CN" w:bidi="ar"/>
              </w:rPr>
              <w:t xml:space="preserve">850</w:t>
            </w:r>
            <w:r>
              <w:rPr>
                <w:rStyle w:val="868"/>
                <w:b w:val="0"/>
                <w:bCs w:val="0"/>
                <w:lang w:val="en-US" w:eastAsia="zh-CN" w:bidi="ar"/>
              </w:rPr>
              <w:t xml:space="preserve">m³/h；</w:t>
            </w:r>
            <w:r>
              <w:rPr>
                <w:rStyle w:val="868"/>
                <w:b w:val="0"/>
                <w:bCs w:val="0"/>
                <w:lang w:val="en-US" w:eastAsia="zh-CN" w:bidi="ar"/>
              </w:rPr>
              <w:br/>
            </w:r>
            <w:r>
              <w:rPr>
                <w:rStyle w:val="868"/>
                <w:b w:val="0"/>
                <w:bCs w:val="0"/>
                <w:lang w:val="en-US" w:eastAsia="zh-CN" w:bidi="ar"/>
              </w:rPr>
              <w:t xml:space="preserve">11</w:t>
            </w:r>
            <w:r>
              <w:rPr>
                <w:rStyle w:val="868"/>
                <w:rFonts w:hint="eastAsia"/>
                <w:b w:val="0"/>
                <w:bCs w:val="0"/>
                <w:lang w:val="en-US" w:eastAsia="zh-CN" w:bidi="ar"/>
              </w:rPr>
              <w:t xml:space="preserve">.</w:t>
            </w:r>
            <w:r>
              <w:rPr>
                <w:rStyle w:val="868"/>
                <w:b w:val="0"/>
                <w:bCs w:val="0"/>
                <w:lang w:val="en-US" w:eastAsia="zh-CN" w:bidi="ar"/>
              </w:rPr>
              <w:t xml:space="preserve">电辅热≥</w:t>
            </w:r>
            <w:r>
              <w:rPr>
                <w:rStyle w:val="868"/>
                <w:rFonts w:hint="eastAsia"/>
                <w:b w:val="0"/>
                <w:bCs w:val="0"/>
                <w:lang w:val="en-US" w:eastAsia="zh-CN" w:bidi="ar"/>
              </w:rPr>
              <w:t xml:space="preserve">1050</w:t>
            </w:r>
            <w:r>
              <w:rPr>
                <w:rStyle w:val="868"/>
                <w:b w:val="0"/>
                <w:bCs w:val="0"/>
                <w:lang w:val="en-US" w:eastAsia="zh-CN" w:bidi="ar"/>
              </w:rPr>
              <w:t xml:space="preserve">W；</w:t>
            </w:r>
            <w:r/>
          </w:p>
          <w:p>
            <w:pPr>
              <w:numPr>
                <w:ilvl w:val="0"/>
                <w:numId w:val="0"/>
              </w:numPr>
              <w:jc w:val="left"/>
              <w:keepLines w:val="0"/>
              <w:keepNext w:val="0"/>
              <w:widowControl/>
              <w:rPr>
                <w:rStyle w:val="868"/>
                <w:rFonts w:hint="default"/>
                <w:b w:val="0"/>
                <w:bCs w:val="0"/>
                <w:lang w:val="en-US" w:eastAsia="zh-CN" w:bidi="ar"/>
              </w:rPr>
              <w:suppressLineNumbers w:val="0"/>
            </w:pPr>
            <w:r>
              <w:rPr>
                <w:rStyle w:val="868"/>
                <w:rFonts w:hint="eastAsia"/>
                <w:b w:val="0"/>
                <w:bCs w:val="0"/>
                <w:lang w:val="en-US" w:eastAsia="zh-CN" w:bidi="ar"/>
              </w:rPr>
              <w:t xml:space="preserve">12.</w:t>
            </w:r>
            <w:r>
              <w:rPr>
                <w:rStyle w:val="868"/>
                <w:rFonts w:hint="default"/>
                <w:b w:val="0"/>
                <w:bCs w:val="0"/>
                <w:lang w:val="en-US" w:eastAsia="zh-CN" w:bidi="ar"/>
              </w:rPr>
              <w:t xml:space="preserve">扫风方式：上下/左右扫风</w:t>
            </w:r>
            <w:r>
              <w:rPr>
                <w:rStyle w:val="868"/>
                <w:rFonts w:hint="eastAsia"/>
                <w:b w:val="0"/>
                <w:bCs w:val="0"/>
                <w:lang w:val="en-US" w:eastAsia="zh-CN" w:bidi="ar"/>
              </w:rPr>
              <w:t xml:space="preserve">；</w:t>
            </w:r>
            <w:r/>
          </w:p>
          <w:p>
            <w:pPr>
              <w:numPr>
                <w:ilvl w:val="0"/>
                <w:numId w:val="0"/>
              </w:numPr>
              <w:jc w:val="left"/>
              <w:keepLines w:val="0"/>
              <w:keepNext w:val="0"/>
              <w:widowControl/>
              <w:rPr>
                <w:rStyle w:val="868"/>
                <w:rFonts w:hint="default"/>
                <w:b w:val="0"/>
                <w:bCs w:val="0"/>
                <w:lang w:val="en-US" w:eastAsia="zh-CN" w:bidi="ar"/>
              </w:rPr>
              <w:suppressLineNumbers w:val="0"/>
            </w:pPr>
            <w:r>
              <w:rPr>
                <w:rStyle w:val="868"/>
                <w:rFonts w:hint="eastAsia"/>
                <w:b w:val="0"/>
                <w:bCs w:val="0"/>
                <w:lang w:val="en-US" w:eastAsia="zh-CN" w:bidi="ar"/>
              </w:rPr>
              <w:t xml:space="preserve">13.</w:t>
            </w:r>
            <w:r>
              <w:rPr>
                <w:rStyle w:val="868"/>
                <w:rFonts w:hint="default"/>
                <w:b w:val="0"/>
                <w:bCs w:val="0"/>
                <w:lang w:val="en-US" w:eastAsia="zh-CN" w:bidi="ar"/>
              </w:rPr>
              <w:t xml:space="preserve">面板材质：ABS塑料</w:t>
            </w:r>
            <w:r>
              <w:rPr>
                <w:rStyle w:val="868"/>
                <w:rFonts w:hint="eastAsia"/>
                <w:b w:val="0"/>
                <w:bCs w:val="0"/>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523875" cy="514350"/>
                      <wp:effectExtent l="0" t="0" r="9525" b="3810"/>
                      <wp:docPr id="96" name="图片 103" descr="IMG_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3" descr="IMG_358"/>
                              <pic:cNvPicPr>
                                <a:picLocks noChangeAspect="1"/>
                              </pic:cNvPicPr>
                              <pic:nvPr/>
                            </pic:nvPicPr>
                            <pic:blipFill>
                              <a:blip r:embed="rId102"/>
                              <a:stretch/>
                            </pic:blipFill>
                            <pic:spPr bwMode="auto">
                              <a:xfrm>
                                <a:off x="0" y="0"/>
                                <a:ext cx="5238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41.2pt;height:40.5pt;mso-wrap-distance-left:0.0pt;mso-wrap-distance-top:0.0pt;mso-wrap-distance-right:0.0pt;mso-wrap-distance-bottom:0.0pt;" stroked="f" strokeweight="0.75pt">
                      <v:path textboxrect="0,0,0,0"/>
                      <v:imagedata r:id="rId102" o:title=""/>
                    </v:shape>
                  </w:pict>
                </mc:Fallback>
              </mc:AlternateConten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立式柜机 大3P</w:t>
            </w:r>
            <w:r/>
          </w:p>
        </w:tc>
        <w:tc>
          <w:tcPr>
            <w:shd w:val="clear" w:color="auto" w:fill="auto"/>
            <w:tcBorders>
              <w:top w:val="single" w:color="000000" w:sz="4" w:space="0"/>
              <w:left w:val="single" w:color="000000" w:sz="4" w:space="0"/>
              <w:bottom w:val="single" w:color="000000" w:sz="4" w:space="0"/>
              <w:right w:val="single" w:color="000000" w:sz="4" w:space="0"/>
            </w:tcBorders>
            <w:tcW w:w="5172" w:type="dxa"/>
            <w:vAlign w:val="center"/>
            <w:textDirection w:val="lrTb"/>
            <w:noWrap w:val="false"/>
          </w:tcPr>
          <w:p>
            <w:pPr>
              <w:numPr>
                <w:ilvl w:val="0"/>
                <w:numId w:val="0"/>
              </w:numPr>
              <w:jc w:val="left"/>
              <w:keepLines w:val="0"/>
              <w:keepNext w:val="0"/>
              <w:widowControl/>
              <w:rPr>
                <w:rStyle w:val="868"/>
                <w:b w:val="0"/>
                <w:bCs w:val="0"/>
                <w:color w:val="auto"/>
                <w:lang w:val="en-US" w:eastAsia="zh-CN" w:bidi="ar"/>
              </w:rPr>
              <w:suppressLineNumbers w:val="0"/>
            </w:pPr>
            <w:r>
              <w:rPr>
                <w:rStyle w:val="868"/>
                <w:rFonts w:hint="eastAsia"/>
                <w:b w:val="0"/>
                <w:bCs w:val="0"/>
                <w:color w:val="auto"/>
                <w:lang w:val="en-US" w:eastAsia="zh-CN" w:bidi="ar"/>
              </w:rPr>
              <w:t xml:space="preserve">1.</w:t>
            </w:r>
            <w:r>
              <w:rPr>
                <w:rStyle w:val="868"/>
                <w:b w:val="0"/>
                <w:bCs w:val="0"/>
                <w:color w:val="auto"/>
                <w:lang w:val="en-US" w:eastAsia="zh-CN" w:bidi="ar"/>
              </w:rPr>
              <w:t xml:space="preserve">电源规格:220V；</w:t>
            </w:r>
            <w:r>
              <w:rPr>
                <w:rStyle w:val="868"/>
                <w:b w:val="0"/>
                <w:bCs w:val="0"/>
                <w:color w:val="auto"/>
                <w:lang w:val="en-US" w:eastAsia="zh-CN" w:bidi="ar"/>
              </w:rPr>
              <w:br/>
            </w:r>
            <w:r>
              <w:rPr>
                <w:rStyle w:val="868"/>
                <w:b w:val="0"/>
                <w:bCs w:val="0"/>
                <w:color w:val="auto"/>
                <w:lang w:val="en-US" w:eastAsia="zh-CN" w:bidi="ar"/>
              </w:rPr>
              <w:t xml:space="preserve">2</w:t>
            </w:r>
            <w:r>
              <w:rPr>
                <w:rStyle w:val="868"/>
                <w:rFonts w:hint="eastAsia"/>
                <w:b w:val="0"/>
                <w:bCs w:val="0"/>
                <w:color w:val="auto"/>
                <w:lang w:val="en-US" w:eastAsia="zh-CN" w:bidi="ar"/>
              </w:rPr>
              <w:t xml:space="preserve">.</w:t>
            </w:r>
            <w:r>
              <w:rPr>
                <w:rStyle w:val="868"/>
                <w:b w:val="0"/>
                <w:bCs w:val="0"/>
                <w:color w:val="auto"/>
                <w:lang w:val="en-US" w:eastAsia="zh-CN" w:bidi="ar"/>
              </w:rPr>
              <w:t xml:space="preserve">能效等级三级；</w:t>
            </w:r>
            <w:r>
              <w:rPr>
                <w:rStyle w:val="868"/>
                <w:b w:val="0"/>
                <w:bCs w:val="0"/>
                <w:color w:val="auto"/>
                <w:lang w:val="en-US" w:eastAsia="zh-CN" w:bidi="ar"/>
              </w:rPr>
              <w:br/>
            </w:r>
            <w:r>
              <w:rPr>
                <w:rStyle w:val="868"/>
                <w:b w:val="0"/>
                <w:bCs w:val="0"/>
                <w:color w:val="auto"/>
                <w:lang w:val="en-US" w:eastAsia="zh-CN" w:bidi="ar"/>
              </w:rPr>
              <w:t xml:space="preserve">3</w:t>
            </w:r>
            <w:r>
              <w:rPr>
                <w:rStyle w:val="868"/>
                <w:rFonts w:hint="eastAsia"/>
                <w:b w:val="0"/>
                <w:bCs w:val="0"/>
                <w:color w:val="auto"/>
                <w:lang w:val="en-US" w:eastAsia="zh-CN" w:bidi="ar"/>
              </w:rPr>
              <w:t xml:space="preserve">.</w:t>
            </w:r>
            <w:r>
              <w:rPr>
                <w:rStyle w:val="868"/>
                <w:b w:val="0"/>
                <w:bCs w:val="0"/>
                <w:color w:val="auto"/>
                <w:lang w:val="en-US" w:eastAsia="zh-CN" w:bidi="ar"/>
              </w:rPr>
              <w:t xml:space="preserve">额定制冷量≥</w:t>
            </w:r>
            <w:r>
              <w:rPr>
                <w:rStyle w:val="868"/>
                <w:rFonts w:hint="eastAsia"/>
                <w:b w:val="0"/>
                <w:bCs w:val="0"/>
                <w:color w:val="auto"/>
                <w:lang w:val="en-US" w:eastAsia="zh-CN" w:bidi="ar"/>
              </w:rPr>
              <w:t xml:space="preserve">729</w:t>
            </w:r>
            <w:r>
              <w:rPr>
                <w:rStyle w:val="868"/>
                <w:b w:val="0"/>
                <w:bCs w:val="0"/>
                <w:color w:val="auto"/>
                <w:lang w:val="en-US" w:eastAsia="zh-CN" w:bidi="ar"/>
              </w:rPr>
              <w:t xml:space="preserve">0W；</w:t>
            </w:r>
            <w:r>
              <w:rPr>
                <w:rStyle w:val="868"/>
                <w:b w:val="0"/>
                <w:bCs w:val="0"/>
                <w:color w:val="auto"/>
                <w:lang w:val="en-US" w:eastAsia="zh-CN" w:bidi="ar"/>
              </w:rPr>
              <w:br/>
            </w:r>
            <w:r>
              <w:rPr>
                <w:rStyle w:val="868"/>
                <w:b w:val="0"/>
                <w:bCs w:val="0"/>
                <w:color w:val="auto"/>
                <w:lang w:val="en-US" w:eastAsia="zh-CN" w:bidi="ar"/>
              </w:rPr>
              <w:t xml:space="preserve">4</w:t>
            </w:r>
            <w:r>
              <w:rPr>
                <w:rStyle w:val="868"/>
                <w:rFonts w:hint="eastAsia"/>
                <w:b w:val="0"/>
                <w:bCs w:val="0"/>
                <w:color w:val="auto"/>
                <w:lang w:val="en-US" w:eastAsia="zh-CN" w:bidi="ar"/>
              </w:rPr>
              <w:t xml:space="preserve">.</w:t>
            </w:r>
            <w:r>
              <w:rPr>
                <w:rStyle w:val="868"/>
                <w:b w:val="0"/>
                <w:bCs w:val="0"/>
                <w:color w:val="auto"/>
                <w:lang w:val="en-US" w:eastAsia="zh-CN" w:bidi="ar"/>
              </w:rPr>
              <w:t xml:space="preserve">额定制热量≥</w:t>
            </w:r>
            <w:r>
              <w:rPr>
                <w:rStyle w:val="868"/>
                <w:rFonts w:hint="eastAsia"/>
                <w:b w:val="0"/>
                <w:bCs w:val="0"/>
                <w:color w:val="auto"/>
                <w:lang w:val="en-US" w:eastAsia="zh-CN" w:bidi="ar"/>
              </w:rPr>
              <w:t xml:space="preserve">9210</w:t>
            </w:r>
            <w:r>
              <w:rPr>
                <w:rStyle w:val="868"/>
                <w:b w:val="0"/>
                <w:bCs w:val="0"/>
                <w:color w:val="auto"/>
                <w:lang w:val="en-US" w:eastAsia="zh-CN" w:bidi="ar"/>
              </w:rPr>
              <w:t xml:space="preserve">W；</w:t>
            </w:r>
            <w:r>
              <w:rPr>
                <w:rStyle w:val="868"/>
                <w:b w:val="0"/>
                <w:bCs w:val="0"/>
                <w:color w:val="auto"/>
                <w:lang w:val="en-US" w:eastAsia="zh-CN" w:bidi="ar"/>
              </w:rPr>
              <w:br/>
            </w:r>
            <w:r>
              <w:rPr>
                <w:rStyle w:val="868"/>
                <w:b w:val="0"/>
                <w:bCs w:val="0"/>
                <w:color w:val="auto"/>
                <w:lang w:val="en-US" w:eastAsia="zh-CN" w:bidi="ar"/>
              </w:rPr>
              <w:t xml:space="preserve">5</w:t>
            </w:r>
            <w:r>
              <w:rPr>
                <w:rStyle w:val="868"/>
                <w:rFonts w:hint="eastAsia"/>
                <w:b w:val="0"/>
                <w:bCs w:val="0"/>
                <w:color w:val="auto"/>
                <w:lang w:val="en-US" w:eastAsia="zh-CN" w:bidi="ar"/>
              </w:rPr>
              <w:t xml:space="preserve">.</w:t>
            </w:r>
            <w:r>
              <w:rPr>
                <w:rStyle w:val="868"/>
                <w:b w:val="0"/>
                <w:bCs w:val="0"/>
                <w:color w:val="auto"/>
                <w:lang w:val="en-US" w:eastAsia="zh-CN" w:bidi="ar"/>
              </w:rPr>
              <w:t xml:space="preserve">额定制冷功率≤</w:t>
            </w:r>
            <w:r>
              <w:rPr>
                <w:rStyle w:val="868"/>
                <w:rFonts w:hint="eastAsia"/>
                <w:b w:val="0"/>
                <w:bCs w:val="0"/>
                <w:color w:val="auto"/>
                <w:lang w:val="en-US" w:eastAsia="zh-CN" w:bidi="ar"/>
              </w:rPr>
              <w:t xml:space="preserve">2350</w:t>
            </w:r>
            <w:r>
              <w:rPr>
                <w:rStyle w:val="868"/>
                <w:b w:val="0"/>
                <w:bCs w:val="0"/>
                <w:color w:val="auto"/>
                <w:lang w:val="en-US" w:eastAsia="zh-CN" w:bidi="ar"/>
              </w:rPr>
              <w:t xml:space="preserve">W；</w:t>
            </w:r>
            <w:r>
              <w:rPr>
                <w:rStyle w:val="868"/>
                <w:b w:val="0"/>
                <w:bCs w:val="0"/>
                <w:color w:val="auto"/>
                <w:lang w:val="en-US" w:eastAsia="zh-CN" w:bidi="ar"/>
              </w:rPr>
              <w:br/>
            </w:r>
            <w:r>
              <w:rPr>
                <w:rStyle w:val="868"/>
                <w:b w:val="0"/>
                <w:bCs w:val="0"/>
                <w:color w:val="auto"/>
                <w:lang w:val="en-US" w:eastAsia="zh-CN" w:bidi="ar"/>
              </w:rPr>
              <w:t xml:space="preserve">6</w:t>
            </w:r>
            <w:r>
              <w:rPr>
                <w:rStyle w:val="868"/>
                <w:rFonts w:hint="eastAsia"/>
                <w:b w:val="0"/>
                <w:bCs w:val="0"/>
                <w:color w:val="auto"/>
                <w:lang w:val="en-US" w:eastAsia="zh-CN" w:bidi="ar"/>
              </w:rPr>
              <w:t xml:space="preserve">.</w:t>
            </w:r>
            <w:r>
              <w:rPr>
                <w:rStyle w:val="868"/>
                <w:b w:val="0"/>
                <w:bCs w:val="0"/>
                <w:color w:val="auto"/>
                <w:lang w:val="en-US" w:eastAsia="zh-CN" w:bidi="ar"/>
              </w:rPr>
              <w:t xml:space="preserve">额定制热功率≤</w:t>
            </w:r>
            <w:r>
              <w:rPr>
                <w:rStyle w:val="868"/>
                <w:rFonts w:hint="eastAsia"/>
                <w:b w:val="0"/>
                <w:bCs w:val="0"/>
                <w:color w:val="auto"/>
                <w:lang w:val="en-US" w:eastAsia="zh-CN" w:bidi="ar"/>
              </w:rPr>
              <w:t xml:space="preserve">2800</w:t>
            </w:r>
            <w:r>
              <w:rPr>
                <w:rStyle w:val="868"/>
                <w:b w:val="0"/>
                <w:bCs w:val="0"/>
                <w:color w:val="auto"/>
                <w:lang w:val="en-US" w:eastAsia="zh-CN" w:bidi="ar"/>
              </w:rPr>
              <w:t xml:space="preserve">W;</w:t>
            </w:r>
            <w:r>
              <w:rPr>
                <w:rStyle w:val="868"/>
                <w:b w:val="0"/>
                <w:bCs w:val="0"/>
                <w:color w:val="auto"/>
                <w:lang w:val="en-US" w:eastAsia="zh-CN" w:bidi="ar"/>
              </w:rPr>
              <w:br/>
            </w:r>
            <w:r>
              <w:rPr>
                <w:rStyle w:val="868"/>
                <w:b w:val="0"/>
                <w:bCs w:val="0"/>
                <w:color w:val="auto"/>
                <w:lang w:val="en-US" w:eastAsia="zh-CN" w:bidi="ar"/>
              </w:rPr>
              <w:t xml:space="preserve">7</w:t>
            </w:r>
            <w:r>
              <w:rPr>
                <w:rStyle w:val="868"/>
                <w:rFonts w:hint="eastAsia"/>
                <w:b w:val="0"/>
                <w:bCs w:val="0"/>
                <w:color w:val="auto"/>
                <w:lang w:val="en-US" w:eastAsia="zh-CN" w:bidi="ar"/>
              </w:rPr>
              <w:t xml:space="preserve">.</w:t>
            </w:r>
            <w:r>
              <w:rPr>
                <w:rStyle w:val="868"/>
                <w:b w:val="0"/>
                <w:bCs w:val="0"/>
                <w:color w:val="auto"/>
                <w:lang w:val="en-US" w:eastAsia="zh-CN" w:bidi="ar"/>
              </w:rPr>
              <w:t xml:space="preserve">APF≥</w:t>
            </w:r>
            <w:r>
              <w:rPr>
                <w:rStyle w:val="868"/>
                <w:rFonts w:hint="eastAsia"/>
                <w:b w:val="0"/>
                <w:bCs w:val="0"/>
                <w:color w:val="auto"/>
                <w:lang w:val="en-US" w:eastAsia="zh-CN" w:bidi="ar"/>
              </w:rPr>
              <w:t xml:space="preserve">3.51</w:t>
            </w:r>
            <w:r>
              <w:rPr>
                <w:rStyle w:val="868"/>
                <w:b w:val="0"/>
                <w:bCs w:val="0"/>
                <w:color w:val="auto"/>
                <w:lang w:val="en-US" w:eastAsia="zh-CN" w:bidi="ar"/>
              </w:rPr>
              <w:t xml:space="preserve">；</w:t>
            </w:r>
            <w:r>
              <w:rPr>
                <w:rStyle w:val="868"/>
                <w:b w:val="0"/>
                <w:bCs w:val="0"/>
                <w:color w:val="auto"/>
                <w:lang w:val="en-US" w:eastAsia="zh-CN" w:bidi="ar"/>
              </w:rPr>
              <w:br/>
            </w:r>
            <w:r>
              <w:rPr>
                <w:rStyle w:val="868"/>
                <w:b w:val="0"/>
                <w:bCs w:val="0"/>
                <w:color w:val="auto"/>
                <w:lang w:val="en-US" w:eastAsia="zh-CN" w:bidi="ar"/>
              </w:rPr>
              <w:t xml:space="preserve">8</w:t>
            </w:r>
            <w:r>
              <w:rPr>
                <w:rStyle w:val="868"/>
                <w:rFonts w:hint="eastAsia"/>
                <w:b w:val="0"/>
                <w:bCs w:val="0"/>
                <w:color w:val="auto"/>
                <w:lang w:val="en-US" w:eastAsia="zh-CN" w:bidi="ar"/>
              </w:rPr>
              <w:t xml:space="preserve">.</w:t>
            </w:r>
            <w:r>
              <w:rPr>
                <w:rStyle w:val="868"/>
                <w:b w:val="0"/>
                <w:bCs w:val="0"/>
                <w:color w:val="auto"/>
                <w:lang w:val="en-US" w:eastAsia="zh-CN" w:bidi="ar"/>
              </w:rPr>
              <w:t xml:space="preserve">内机最大噪音≤4</w:t>
            </w:r>
            <w:r>
              <w:rPr>
                <w:rStyle w:val="868"/>
                <w:rFonts w:hint="eastAsia"/>
                <w:b w:val="0"/>
                <w:bCs w:val="0"/>
                <w:color w:val="auto"/>
                <w:lang w:val="en-US" w:eastAsia="zh-CN" w:bidi="ar"/>
              </w:rPr>
              <w:t xml:space="preserve">7</w:t>
            </w:r>
            <w:r>
              <w:rPr>
                <w:rStyle w:val="868"/>
                <w:b w:val="0"/>
                <w:bCs w:val="0"/>
                <w:color w:val="auto"/>
                <w:lang w:val="en-US" w:eastAsia="zh-CN" w:bidi="ar"/>
              </w:rPr>
              <w:t xml:space="preserve">dB；</w:t>
            </w:r>
            <w:r>
              <w:rPr>
                <w:rStyle w:val="868"/>
                <w:b w:val="0"/>
                <w:bCs w:val="0"/>
                <w:color w:val="auto"/>
                <w:lang w:val="en-US" w:eastAsia="zh-CN" w:bidi="ar"/>
              </w:rPr>
              <w:br/>
            </w:r>
            <w:r>
              <w:rPr>
                <w:rStyle w:val="868"/>
                <w:b w:val="0"/>
                <w:bCs w:val="0"/>
                <w:color w:val="auto"/>
                <w:lang w:val="en-US" w:eastAsia="zh-CN" w:bidi="ar"/>
              </w:rPr>
              <w:t xml:space="preserve">9</w:t>
            </w:r>
            <w:r>
              <w:rPr>
                <w:rStyle w:val="868"/>
                <w:rFonts w:hint="eastAsia"/>
                <w:b w:val="0"/>
                <w:bCs w:val="0"/>
                <w:color w:val="auto"/>
                <w:lang w:val="en-US" w:eastAsia="zh-CN" w:bidi="ar"/>
              </w:rPr>
              <w:t xml:space="preserve">.</w:t>
            </w:r>
            <w:r>
              <w:rPr>
                <w:rStyle w:val="868"/>
                <w:b w:val="0"/>
                <w:bCs w:val="0"/>
                <w:color w:val="auto"/>
                <w:lang w:val="en-US" w:eastAsia="zh-CN" w:bidi="ar"/>
              </w:rPr>
              <w:t xml:space="preserve">外机噪音≤5</w:t>
            </w:r>
            <w:r>
              <w:rPr>
                <w:rStyle w:val="868"/>
                <w:rFonts w:hint="eastAsia"/>
                <w:b w:val="0"/>
                <w:bCs w:val="0"/>
                <w:color w:val="auto"/>
                <w:lang w:val="en-US" w:eastAsia="zh-CN" w:bidi="ar"/>
              </w:rPr>
              <w:t xml:space="preserve">6</w:t>
            </w:r>
            <w:r>
              <w:rPr>
                <w:rStyle w:val="868"/>
                <w:b w:val="0"/>
                <w:bCs w:val="0"/>
                <w:color w:val="auto"/>
                <w:lang w:val="en-US" w:eastAsia="zh-CN" w:bidi="ar"/>
              </w:rPr>
              <w:t xml:space="preserve">dB；</w:t>
            </w:r>
            <w:r>
              <w:rPr>
                <w:rStyle w:val="868"/>
                <w:b w:val="0"/>
                <w:bCs w:val="0"/>
                <w:color w:val="auto"/>
                <w:lang w:val="en-US" w:eastAsia="zh-CN" w:bidi="ar"/>
              </w:rPr>
              <w:br/>
            </w:r>
            <w:r>
              <w:rPr>
                <w:rStyle w:val="868"/>
                <w:b w:val="0"/>
                <w:bCs w:val="0"/>
                <w:color w:val="auto"/>
                <w:lang w:val="en-US" w:eastAsia="zh-CN" w:bidi="ar"/>
              </w:rPr>
              <w:t xml:space="preserve">10</w:t>
            </w:r>
            <w:r>
              <w:rPr>
                <w:rStyle w:val="868"/>
                <w:rFonts w:hint="eastAsia"/>
                <w:b w:val="0"/>
                <w:bCs w:val="0"/>
                <w:color w:val="auto"/>
                <w:lang w:val="en-US" w:eastAsia="zh-CN" w:bidi="ar"/>
              </w:rPr>
              <w:t xml:space="preserve">.</w:t>
            </w:r>
            <w:r>
              <w:rPr>
                <w:rStyle w:val="868"/>
                <w:b w:val="0"/>
                <w:bCs w:val="0"/>
                <w:color w:val="auto"/>
                <w:lang w:val="en-US" w:eastAsia="zh-CN" w:bidi="ar"/>
              </w:rPr>
              <w:t xml:space="preserve">循环风量≥</w:t>
            </w:r>
            <w:r>
              <w:rPr>
                <w:rStyle w:val="868"/>
                <w:rFonts w:hint="eastAsia"/>
                <w:b w:val="0"/>
                <w:bCs w:val="0"/>
                <w:color w:val="auto"/>
                <w:lang w:val="en-US" w:eastAsia="zh-CN" w:bidi="ar"/>
              </w:rPr>
              <w:t xml:space="preserve">1210</w:t>
            </w:r>
            <w:r>
              <w:rPr>
                <w:rStyle w:val="868"/>
                <w:b w:val="0"/>
                <w:bCs w:val="0"/>
                <w:color w:val="auto"/>
                <w:lang w:val="en-US" w:eastAsia="zh-CN" w:bidi="ar"/>
              </w:rPr>
              <w:t xml:space="preserve">m³/h；</w:t>
            </w:r>
            <w:r>
              <w:rPr>
                <w:rStyle w:val="868"/>
                <w:b w:val="0"/>
                <w:bCs w:val="0"/>
                <w:color w:val="auto"/>
                <w:lang w:val="en-US" w:eastAsia="zh-CN" w:bidi="ar"/>
              </w:rPr>
              <w:br/>
            </w:r>
            <w:r>
              <w:rPr>
                <w:rStyle w:val="868"/>
                <w:b w:val="0"/>
                <w:bCs w:val="0"/>
                <w:color w:val="auto"/>
                <w:lang w:val="en-US" w:eastAsia="zh-CN" w:bidi="ar"/>
              </w:rPr>
              <w:t xml:space="preserve">11</w:t>
            </w:r>
            <w:r>
              <w:rPr>
                <w:rStyle w:val="868"/>
                <w:rFonts w:hint="eastAsia"/>
                <w:b w:val="0"/>
                <w:bCs w:val="0"/>
                <w:color w:val="auto"/>
                <w:lang w:val="en-US" w:eastAsia="zh-CN" w:bidi="ar"/>
              </w:rPr>
              <w:t xml:space="preserve">.</w:t>
            </w:r>
            <w:r>
              <w:rPr>
                <w:rStyle w:val="868"/>
                <w:b w:val="0"/>
                <w:bCs w:val="0"/>
                <w:color w:val="auto"/>
                <w:lang w:val="en-US" w:eastAsia="zh-CN" w:bidi="ar"/>
              </w:rPr>
              <w:t xml:space="preserve">电辅热≥</w:t>
            </w:r>
            <w:r>
              <w:rPr>
                <w:rStyle w:val="868"/>
                <w:rFonts w:hint="eastAsia"/>
                <w:b w:val="0"/>
                <w:bCs w:val="0"/>
                <w:color w:val="auto"/>
                <w:lang w:val="en-US" w:eastAsia="zh-CN" w:bidi="ar"/>
              </w:rPr>
              <w:t xml:space="preserve">2500</w:t>
            </w:r>
            <w:r>
              <w:rPr>
                <w:rStyle w:val="868"/>
                <w:b w:val="0"/>
                <w:bCs w:val="0"/>
                <w:color w:val="auto"/>
                <w:lang w:val="en-US" w:eastAsia="zh-CN" w:bidi="ar"/>
              </w:rPr>
              <w:t xml:space="preserve">W；</w:t>
            </w:r>
            <w:r/>
          </w:p>
          <w:p>
            <w:pPr>
              <w:numPr>
                <w:ilvl w:val="0"/>
                <w:numId w:val="0"/>
              </w:numPr>
              <w:jc w:val="left"/>
              <w:keepLines w:val="0"/>
              <w:keepNext w:val="0"/>
              <w:widowControl/>
              <w:rPr>
                <w:rStyle w:val="868"/>
                <w:rFonts w:hint="default"/>
                <w:b w:val="0"/>
                <w:bCs w:val="0"/>
                <w:lang w:val="en-US" w:eastAsia="zh-CN" w:bidi="ar"/>
              </w:rPr>
              <w:suppressLineNumbers w:val="0"/>
            </w:pPr>
            <w:r>
              <w:rPr>
                <w:rStyle w:val="868"/>
                <w:rFonts w:hint="eastAsia"/>
                <w:b w:val="0"/>
                <w:bCs w:val="0"/>
                <w:lang w:val="en-US" w:eastAsia="zh-CN" w:bidi="ar"/>
              </w:rPr>
              <w:t xml:space="preserve">12.</w:t>
            </w:r>
            <w:r>
              <w:rPr>
                <w:rStyle w:val="868"/>
                <w:rFonts w:hint="default"/>
                <w:b w:val="0"/>
                <w:bCs w:val="0"/>
                <w:lang w:val="en-US" w:eastAsia="zh-CN" w:bidi="ar"/>
              </w:rPr>
              <w:t xml:space="preserve">扫风方式：上下/左右扫风</w:t>
            </w:r>
            <w:r>
              <w:rPr>
                <w:rStyle w:val="868"/>
                <w:rFonts w:hint="eastAsia"/>
                <w:b w:val="0"/>
                <w:bCs w:val="0"/>
                <w:lang w:val="en-US" w:eastAsia="zh-CN" w:bidi="ar"/>
              </w:rPr>
              <w:t xml:space="preserve">；</w:t>
            </w:r>
            <w:r/>
          </w:p>
          <w:p>
            <w:pPr>
              <w:pStyle w:val="847"/>
              <w:numPr>
                <w:ilvl w:val="0"/>
                <w:numId w:val="0"/>
              </w:numPr>
              <w:rPr>
                <w:rFonts w:hint="default"/>
                <w:lang w:val="en-US" w:eastAsia="zh-CN"/>
              </w:rPr>
            </w:pPr>
            <w:r>
              <w:rPr>
                <w:rStyle w:val="868"/>
                <w:rFonts w:hint="eastAsia"/>
                <w:b w:val="0"/>
                <w:bCs w:val="0"/>
                <w:lang w:val="en-US" w:eastAsia="zh-CN" w:bidi="ar"/>
              </w:rPr>
              <w:t xml:space="preserve">13.</w:t>
            </w:r>
            <w:r>
              <w:rPr>
                <w:rStyle w:val="868"/>
                <w:rFonts w:hint="default"/>
                <w:b w:val="0"/>
                <w:bCs w:val="0"/>
                <w:lang w:val="en-US" w:eastAsia="zh-CN" w:bidi="ar"/>
              </w:rPr>
              <w:t xml:space="preserve">面板材质：ABS塑料</w:t>
            </w:r>
            <w:r>
              <w:rPr>
                <w:rStyle w:val="868"/>
                <w:rFonts w:hint="eastAsia"/>
                <w:b w:val="0"/>
                <w:bCs w:val="0"/>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523875" cy="457200"/>
                      <wp:effectExtent l="0" t="0" r="9525" b="0"/>
                      <wp:docPr id="97" name="图片 104" descr="IMG_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04" descr="IMG_359"/>
                              <pic:cNvPicPr>
                                <a:picLocks noChangeAspect="1"/>
                              </pic:cNvPicPr>
                              <pic:nvPr/>
                            </pic:nvPicPr>
                            <pic:blipFill>
                              <a:blip r:embed="rId103"/>
                              <a:stretch/>
                            </pic:blipFill>
                            <pic:spPr bwMode="auto">
                              <a:xfrm>
                                <a:off x="0" y="0"/>
                                <a:ext cx="523875"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41.2pt;height:36.0pt;mso-wrap-distance-left:0.0pt;mso-wrap-distance-top:0.0pt;mso-wrap-distance-right:0.0pt;mso-wrap-distance-bottom:0.0pt;" stroked="f" strokeweight="0.75pt">
                      <v:path textboxrect="0,0,0,0"/>
                      <v:imagedata r:id="rId103" o:title=""/>
                    </v:shape>
                  </w:pict>
                </mc:Fallback>
              </mc:AlternateConten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中央空调1拖3，大机口不小于2匹</w:t>
            </w:r>
            <w:r/>
          </w:p>
        </w:tc>
        <w:tc>
          <w:tcPr>
            <w:shd w:val="clear" w:color="auto" w:fill="auto"/>
            <w:tcBorders>
              <w:top w:val="single" w:color="000000" w:sz="4" w:space="0"/>
              <w:left w:val="single" w:color="000000" w:sz="4" w:space="0"/>
              <w:bottom w:val="single" w:color="000000" w:sz="4" w:space="0"/>
              <w:right w:val="single" w:color="000000" w:sz="4" w:space="0"/>
            </w:tcBorders>
            <w:tcW w:w="5172" w:type="dxa"/>
            <w:vAlign w:val="center"/>
            <w:textDirection w:val="lrTb"/>
            <w:noWrap w:val="false"/>
          </w:tcPr>
          <w:p>
            <w:pPr>
              <w:numPr>
                <w:ilvl w:val="0"/>
                <w:numId w:val="0"/>
              </w:numPr>
              <w:jc w:val="left"/>
              <w:keepLines w:val="0"/>
              <w:keepNext w:val="0"/>
              <w:widowControl/>
              <w:rPr>
                <w:rStyle w:val="868"/>
                <w:b w:val="0"/>
                <w:bCs w:val="0"/>
                <w:lang w:val="en-US" w:eastAsia="zh-CN" w:bidi="ar"/>
              </w:rPr>
              <w:suppressLineNumbers w:val="0"/>
            </w:pPr>
            <w:r>
              <w:rPr>
                <w:rStyle w:val="868"/>
                <w:rFonts w:hint="eastAsia"/>
                <w:b w:val="0"/>
                <w:bCs w:val="0"/>
                <w:lang w:val="en-US" w:eastAsia="zh-CN" w:bidi="ar"/>
              </w:rPr>
              <w:t xml:space="preserve">1.</w:t>
            </w:r>
            <w:r>
              <w:rPr>
                <w:rStyle w:val="868"/>
                <w:b w:val="0"/>
                <w:bCs w:val="0"/>
                <w:lang w:val="en-US" w:eastAsia="zh-CN" w:bidi="ar"/>
              </w:rPr>
              <w:t xml:space="preserve">电源规格:220V；</w:t>
            </w:r>
            <w:r>
              <w:rPr>
                <w:rStyle w:val="868"/>
                <w:b w:val="0"/>
                <w:bCs w:val="0"/>
                <w:lang w:val="en-US" w:eastAsia="zh-CN" w:bidi="ar"/>
              </w:rPr>
              <w:br/>
            </w:r>
            <w:r>
              <w:rPr>
                <w:rStyle w:val="868"/>
                <w:b w:val="0"/>
                <w:bCs w:val="0"/>
                <w:lang w:val="en-US" w:eastAsia="zh-CN" w:bidi="ar"/>
              </w:rPr>
              <w:t xml:space="preserve">2</w:t>
            </w:r>
            <w:r>
              <w:rPr>
                <w:rStyle w:val="868"/>
                <w:rFonts w:hint="eastAsia"/>
                <w:b w:val="0"/>
                <w:bCs w:val="0"/>
                <w:lang w:val="en-US" w:eastAsia="zh-CN" w:bidi="ar"/>
              </w:rPr>
              <w:t xml:space="preserve">.</w:t>
            </w:r>
            <w:r>
              <w:rPr>
                <w:rStyle w:val="868"/>
                <w:b w:val="0"/>
                <w:bCs w:val="0"/>
                <w:lang w:val="en-US" w:eastAsia="zh-CN" w:bidi="ar"/>
              </w:rPr>
              <w:t xml:space="preserve">能效等级一级；</w:t>
            </w:r>
            <w:r>
              <w:rPr>
                <w:rStyle w:val="868"/>
                <w:b w:val="0"/>
                <w:bCs w:val="0"/>
                <w:lang w:val="en-US" w:eastAsia="zh-CN" w:bidi="ar"/>
              </w:rPr>
              <w:br/>
            </w:r>
            <w:r>
              <w:rPr>
                <w:rStyle w:val="868"/>
                <w:b w:val="0"/>
                <w:bCs w:val="0"/>
                <w:lang w:val="en-US" w:eastAsia="zh-CN" w:bidi="ar"/>
              </w:rPr>
              <w:t xml:space="preserve">3</w:t>
            </w:r>
            <w:r>
              <w:rPr>
                <w:rStyle w:val="868"/>
                <w:rFonts w:hint="eastAsia"/>
                <w:b w:val="0"/>
                <w:bCs w:val="0"/>
                <w:lang w:val="en-US" w:eastAsia="zh-CN" w:bidi="ar"/>
              </w:rPr>
              <w:t xml:space="preserve">.</w:t>
            </w:r>
            <w:r>
              <w:rPr>
                <w:rStyle w:val="868"/>
                <w:b w:val="0"/>
                <w:bCs w:val="0"/>
                <w:lang w:val="en-US" w:eastAsia="zh-CN" w:bidi="ar"/>
              </w:rPr>
              <w:t xml:space="preserve">额定制冷量≥14100W；</w:t>
            </w:r>
            <w:r>
              <w:rPr>
                <w:rStyle w:val="868"/>
                <w:b w:val="0"/>
                <w:bCs w:val="0"/>
                <w:lang w:val="en-US" w:eastAsia="zh-CN" w:bidi="ar"/>
              </w:rPr>
              <w:br/>
            </w:r>
            <w:r>
              <w:rPr>
                <w:rStyle w:val="868"/>
                <w:b w:val="0"/>
                <w:bCs w:val="0"/>
                <w:lang w:val="en-US" w:eastAsia="zh-CN" w:bidi="ar"/>
              </w:rPr>
              <w:t xml:space="preserve">4</w:t>
            </w:r>
            <w:r>
              <w:rPr>
                <w:rStyle w:val="868"/>
                <w:rFonts w:hint="eastAsia"/>
                <w:b w:val="0"/>
                <w:bCs w:val="0"/>
                <w:lang w:val="en-US" w:eastAsia="zh-CN" w:bidi="ar"/>
              </w:rPr>
              <w:t xml:space="preserve">.</w:t>
            </w:r>
            <w:r>
              <w:rPr>
                <w:rStyle w:val="868"/>
                <w:b w:val="0"/>
                <w:bCs w:val="0"/>
                <w:lang w:val="en-US" w:eastAsia="zh-CN" w:bidi="ar"/>
              </w:rPr>
              <w:t xml:space="preserve">额定制热量≥16000W；</w:t>
            </w:r>
            <w:r>
              <w:rPr>
                <w:rStyle w:val="868"/>
                <w:b w:val="0"/>
                <w:bCs w:val="0"/>
                <w:lang w:val="en-US" w:eastAsia="zh-CN" w:bidi="ar"/>
              </w:rPr>
              <w:br/>
            </w:r>
            <w:r>
              <w:rPr>
                <w:rStyle w:val="868"/>
                <w:b w:val="0"/>
                <w:bCs w:val="0"/>
                <w:lang w:val="en-US" w:eastAsia="zh-CN" w:bidi="ar"/>
              </w:rPr>
              <w:t xml:space="preserve">5</w:t>
            </w:r>
            <w:r>
              <w:rPr>
                <w:rStyle w:val="868"/>
                <w:rFonts w:hint="eastAsia"/>
                <w:b w:val="0"/>
                <w:bCs w:val="0"/>
                <w:lang w:val="en-US" w:eastAsia="zh-CN" w:bidi="ar"/>
              </w:rPr>
              <w:t xml:space="preserve">.</w:t>
            </w:r>
            <w:r>
              <w:rPr>
                <w:rStyle w:val="868"/>
                <w:b w:val="0"/>
                <w:bCs w:val="0"/>
                <w:lang w:val="en-US" w:eastAsia="zh-CN" w:bidi="ar"/>
              </w:rPr>
              <w:t xml:space="preserve">额定制冷功率≤4</w:t>
            </w:r>
            <w:r>
              <w:rPr>
                <w:rStyle w:val="868"/>
                <w:rFonts w:hint="eastAsia"/>
                <w:b w:val="0"/>
                <w:bCs w:val="0"/>
                <w:lang w:val="en-US" w:eastAsia="zh-CN" w:bidi="ar"/>
              </w:rPr>
              <w:t xml:space="preserve">2</w:t>
            </w:r>
            <w:r>
              <w:rPr>
                <w:rStyle w:val="868"/>
                <w:b w:val="0"/>
                <w:bCs w:val="0"/>
                <w:lang w:val="en-US" w:eastAsia="zh-CN" w:bidi="ar"/>
              </w:rPr>
              <w:t xml:space="preserve">00W；</w:t>
            </w:r>
            <w:r>
              <w:rPr>
                <w:rStyle w:val="868"/>
                <w:b w:val="0"/>
                <w:bCs w:val="0"/>
                <w:lang w:val="en-US" w:eastAsia="zh-CN" w:bidi="ar"/>
              </w:rPr>
              <w:br/>
            </w:r>
            <w:r>
              <w:rPr>
                <w:rStyle w:val="868"/>
                <w:b w:val="0"/>
                <w:bCs w:val="0"/>
                <w:lang w:val="en-US" w:eastAsia="zh-CN" w:bidi="ar"/>
              </w:rPr>
              <w:t xml:space="preserve">6</w:t>
            </w:r>
            <w:r>
              <w:rPr>
                <w:rStyle w:val="868"/>
                <w:rFonts w:hint="eastAsia"/>
                <w:b w:val="0"/>
                <w:bCs w:val="0"/>
                <w:lang w:val="en-US" w:eastAsia="zh-CN" w:bidi="ar"/>
              </w:rPr>
              <w:t xml:space="preserve">.</w:t>
            </w:r>
            <w:r>
              <w:rPr>
                <w:rStyle w:val="868"/>
                <w:b w:val="0"/>
                <w:bCs w:val="0"/>
                <w:lang w:val="en-US" w:eastAsia="zh-CN" w:bidi="ar"/>
              </w:rPr>
              <w:t xml:space="preserve">额定制热功率≤4000W;</w:t>
            </w:r>
            <w:r>
              <w:rPr>
                <w:rStyle w:val="868"/>
                <w:b w:val="0"/>
                <w:bCs w:val="0"/>
                <w:lang w:val="en-US" w:eastAsia="zh-CN" w:bidi="ar"/>
              </w:rPr>
              <w:br/>
            </w:r>
            <w:r>
              <w:rPr>
                <w:rStyle w:val="868"/>
                <w:b w:val="0"/>
                <w:bCs w:val="0"/>
                <w:lang w:val="en-US" w:eastAsia="zh-CN" w:bidi="ar"/>
              </w:rPr>
              <w:t xml:space="preserve">7</w:t>
            </w:r>
            <w:r>
              <w:rPr>
                <w:rStyle w:val="868"/>
                <w:rFonts w:hint="eastAsia"/>
                <w:b w:val="0"/>
                <w:bCs w:val="0"/>
                <w:lang w:val="en-US" w:eastAsia="zh-CN" w:bidi="ar"/>
              </w:rPr>
              <w:t xml:space="preserve">.</w:t>
            </w:r>
            <w:r>
              <w:rPr>
                <w:rStyle w:val="868"/>
                <w:b w:val="0"/>
                <w:bCs w:val="0"/>
                <w:lang w:val="en-US" w:eastAsia="zh-CN" w:bidi="ar"/>
              </w:rPr>
              <w:t xml:space="preserve">APF≥4.8；</w:t>
            </w:r>
            <w:r>
              <w:rPr>
                <w:rStyle w:val="868"/>
                <w:b w:val="0"/>
                <w:bCs w:val="0"/>
                <w:lang w:val="en-US" w:eastAsia="zh-CN" w:bidi="ar"/>
              </w:rPr>
              <w:br/>
            </w:r>
            <w:r>
              <w:rPr>
                <w:rStyle w:val="868"/>
                <w:b w:val="0"/>
                <w:bCs w:val="0"/>
                <w:lang w:val="en-US" w:eastAsia="zh-CN" w:bidi="ar"/>
              </w:rPr>
              <w:t xml:space="preserve">8</w:t>
            </w:r>
            <w:r>
              <w:rPr>
                <w:rStyle w:val="868"/>
                <w:rFonts w:hint="eastAsia"/>
                <w:b w:val="0"/>
                <w:bCs w:val="0"/>
                <w:lang w:val="en-US" w:eastAsia="zh-CN" w:bidi="ar"/>
              </w:rPr>
              <w:t xml:space="preserve">.</w:t>
            </w:r>
            <w:r>
              <w:rPr>
                <w:rStyle w:val="868"/>
                <w:b w:val="0"/>
                <w:bCs w:val="0"/>
                <w:lang w:val="en-US" w:eastAsia="zh-CN" w:bidi="ar"/>
              </w:rPr>
              <w:t xml:space="preserve">内机最大噪音≤33dB；</w:t>
            </w:r>
            <w:r>
              <w:rPr>
                <w:rStyle w:val="868"/>
                <w:b w:val="0"/>
                <w:bCs w:val="0"/>
                <w:lang w:val="en-US" w:eastAsia="zh-CN" w:bidi="ar"/>
              </w:rPr>
              <w:br/>
            </w:r>
            <w:r>
              <w:rPr>
                <w:rStyle w:val="868"/>
                <w:b w:val="0"/>
                <w:bCs w:val="0"/>
                <w:lang w:val="en-US" w:eastAsia="zh-CN" w:bidi="ar"/>
              </w:rPr>
              <w:t xml:space="preserve">9</w:t>
            </w:r>
            <w:r>
              <w:rPr>
                <w:rStyle w:val="868"/>
                <w:rFonts w:hint="eastAsia"/>
                <w:b w:val="0"/>
                <w:bCs w:val="0"/>
                <w:lang w:val="en-US" w:eastAsia="zh-CN" w:bidi="ar"/>
              </w:rPr>
              <w:t xml:space="preserve">.</w:t>
            </w:r>
            <w:r>
              <w:rPr>
                <w:rStyle w:val="868"/>
                <w:b w:val="0"/>
                <w:bCs w:val="0"/>
                <w:lang w:val="en-US" w:eastAsia="zh-CN" w:bidi="ar"/>
              </w:rPr>
              <w:t xml:space="preserve">外机噪音≤</w:t>
            </w:r>
            <w:r>
              <w:rPr>
                <w:rStyle w:val="868"/>
                <w:rFonts w:hint="eastAsia"/>
                <w:b w:val="0"/>
                <w:bCs w:val="0"/>
                <w:lang w:val="en-US" w:eastAsia="zh-CN" w:bidi="ar"/>
              </w:rPr>
              <w:t xml:space="preserve">58</w:t>
            </w:r>
            <w:r>
              <w:rPr>
                <w:rStyle w:val="868"/>
                <w:b w:val="0"/>
                <w:bCs w:val="0"/>
                <w:lang w:val="en-US" w:eastAsia="zh-CN" w:bidi="ar"/>
              </w:rPr>
              <w:t xml:space="preserve">dB；</w:t>
            </w:r>
            <w:r>
              <w:rPr>
                <w:rStyle w:val="868"/>
                <w:b w:val="0"/>
                <w:bCs w:val="0"/>
                <w:lang w:val="en-US" w:eastAsia="zh-CN" w:bidi="ar"/>
              </w:rPr>
              <w:br/>
            </w:r>
            <w:r>
              <w:rPr>
                <w:rStyle w:val="868"/>
                <w:b w:val="0"/>
                <w:bCs w:val="0"/>
                <w:lang w:val="en-US" w:eastAsia="zh-CN" w:bidi="ar"/>
              </w:rPr>
              <w:t xml:space="preserve">10</w:t>
            </w:r>
            <w:r>
              <w:rPr>
                <w:rStyle w:val="868"/>
                <w:rFonts w:hint="eastAsia"/>
                <w:b w:val="0"/>
                <w:bCs w:val="0"/>
                <w:lang w:val="en-US" w:eastAsia="zh-CN" w:bidi="ar"/>
              </w:rPr>
              <w:t xml:space="preserve">.</w:t>
            </w:r>
            <w:r>
              <w:rPr>
                <w:rStyle w:val="868"/>
                <w:b w:val="0"/>
                <w:bCs w:val="0"/>
                <w:lang w:val="en-US" w:eastAsia="zh-CN" w:bidi="ar"/>
              </w:rPr>
              <w:t xml:space="preserve">循环风量≥800m</w:t>
            </w:r>
            <w:r>
              <w:rPr>
                <w:rStyle w:val="870"/>
                <w:b w:val="0"/>
                <w:bCs w:val="0"/>
                <w:lang w:val="en-US" w:eastAsia="zh-CN" w:bidi="ar"/>
              </w:rPr>
              <w:t xml:space="preserve">³</w:t>
            </w:r>
            <w:r>
              <w:rPr>
                <w:rStyle w:val="868"/>
                <w:b w:val="0"/>
                <w:bCs w:val="0"/>
                <w:lang w:val="en-US" w:eastAsia="zh-CN" w:bidi="ar"/>
              </w:rPr>
              <w:t xml:space="preserve">/h</w:t>
            </w:r>
            <w:r>
              <w:rPr>
                <w:rStyle w:val="868"/>
                <w:b w:val="0"/>
                <w:bCs w:val="0"/>
                <w:lang w:val="en-US" w:eastAsia="zh-CN" w:bidi="ar"/>
              </w:rPr>
              <w:br/>
            </w:r>
            <w:r>
              <w:rPr>
                <w:rStyle w:val="868"/>
                <w:b w:val="0"/>
                <w:bCs w:val="0"/>
                <w:lang w:val="en-US" w:eastAsia="zh-CN" w:bidi="ar"/>
              </w:rPr>
              <w:t xml:space="preserve">11</w:t>
            </w:r>
            <w:r>
              <w:rPr>
                <w:rStyle w:val="868"/>
                <w:rFonts w:hint="eastAsia"/>
                <w:b w:val="0"/>
                <w:bCs w:val="0"/>
                <w:lang w:val="en-US" w:eastAsia="zh-CN" w:bidi="ar"/>
              </w:rPr>
              <w:t xml:space="preserve">.</w:t>
            </w:r>
            <w:r>
              <w:rPr>
                <w:rStyle w:val="868"/>
                <w:b w:val="0"/>
                <w:bCs w:val="0"/>
                <w:lang w:val="en-US" w:eastAsia="zh-CN" w:bidi="ar"/>
              </w:rPr>
              <w:t xml:space="preserve">电辅热≥1200W；</w:t>
            </w:r>
            <w:r/>
          </w:p>
          <w:p>
            <w:pPr>
              <w:numPr>
                <w:ilvl w:val="0"/>
                <w:numId w:val="0"/>
              </w:numPr>
              <w:jc w:val="left"/>
              <w:keepLines w:val="0"/>
              <w:keepNext w:val="0"/>
              <w:widowControl/>
              <w:rPr>
                <w:rStyle w:val="868"/>
                <w:rFonts w:hint="default"/>
                <w:b w:val="0"/>
                <w:bCs w:val="0"/>
                <w:lang w:val="en-US" w:eastAsia="zh-CN" w:bidi="ar"/>
              </w:rPr>
              <w:suppressLineNumbers w:val="0"/>
            </w:pPr>
            <w:r>
              <w:rPr>
                <w:rStyle w:val="868"/>
                <w:rFonts w:hint="eastAsia"/>
                <w:b w:val="0"/>
                <w:bCs w:val="0"/>
                <w:lang w:val="en-US" w:eastAsia="zh-CN" w:bidi="ar"/>
              </w:rPr>
              <w:t xml:space="preserve">12.</w:t>
            </w:r>
            <w:r>
              <w:rPr>
                <w:rStyle w:val="868"/>
                <w:rFonts w:hint="default"/>
                <w:b w:val="0"/>
                <w:bCs w:val="0"/>
                <w:lang w:val="en-US" w:eastAsia="zh-CN" w:bidi="ar"/>
              </w:rPr>
              <w:t xml:space="preserve">扫风方式：上下/左右扫风</w:t>
            </w:r>
            <w:r>
              <w:rPr>
                <w:rStyle w:val="868"/>
                <w:rFonts w:hint="eastAsia"/>
                <w:b w:val="0"/>
                <w:bCs w:val="0"/>
                <w:lang w:val="en-US" w:eastAsia="zh-CN" w:bidi="ar"/>
              </w:rPr>
              <w:t xml:space="preserve">；</w:t>
            </w:r>
            <w:r/>
          </w:p>
          <w:p>
            <w:pPr>
              <w:pStyle w:val="847"/>
              <w:numPr>
                <w:ilvl w:val="0"/>
                <w:numId w:val="0"/>
              </w:numPr>
              <w:rPr>
                <w:lang w:val="en-US" w:eastAsia="zh-CN"/>
              </w:rPr>
            </w:pPr>
            <w:r>
              <w:rPr>
                <w:rStyle w:val="868"/>
                <w:rFonts w:hint="eastAsia"/>
                <w:b w:val="0"/>
                <w:bCs w:val="0"/>
                <w:lang w:val="en-US" w:eastAsia="zh-CN" w:bidi="ar"/>
              </w:rPr>
              <w:t xml:space="preserve">13.</w:t>
            </w:r>
            <w:r>
              <w:rPr>
                <w:rStyle w:val="868"/>
                <w:rFonts w:hint="default"/>
                <w:b w:val="0"/>
                <w:bCs w:val="0"/>
                <w:lang w:val="en-US" w:eastAsia="zh-CN" w:bidi="ar"/>
              </w:rPr>
              <w:t xml:space="preserve">面板材质：ABS塑料</w:t>
            </w:r>
            <w:r>
              <w:rPr>
                <w:rStyle w:val="868"/>
                <w:rFonts w:hint="eastAsia"/>
                <w:b w:val="0"/>
                <w:bCs w:val="0"/>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523875" cy="438150"/>
                      <wp:effectExtent l="0" t="0" r="9525" b="3810"/>
                      <wp:docPr id="98" name="图片 105" descr="IMG_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05" descr="IMG_360"/>
                              <pic:cNvPicPr>
                                <a:picLocks noChangeAspect="1"/>
                              </pic:cNvPicPr>
                              <pic:nvPr/>
                            </pic:nvPicPr>
                            <pic:blipFill>
                              <a:blip r:embed="rId104"/>
                              <a:stretch/>
                            </pic:blipFill>
                            <pic:spPr bwMode="auto">
                              <a:xfrm>
                                <a:off x="0" y="0"/>
                                <a:ext cx="5238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41.2pt;height:34.5pt;mso-wrap-distance-left:0.0pt;mso-wrap-distance-top:0.0pt;mso-wrap-distance-right:0.0pt;mso-wrap-distance-bottom:0.0pt;" stroked="f" strokeweight="0.75pt">
                      <v:path textboxrect="0,0,0,0"/>
                      <v:imagedata r:id="rId104" o:title=""/>
                    </v:shape>
                  </w:pict>
                </mc:Fallback>
              </mc:AlternateContent>
            </w:r>
            <w:r/>
          </w:p>
        </w:tc>
      </w:tr>
      <w:tr>
        <w:trPr>
          <w:trHeight w:val="1384"/>
        </w:trPr>
        <w:tc>
          <w:tcPr>
            <w:gridSpan w:val="6"/>
            <w:shd w:val="clear" w:color="auto" w:fill="auto"/>
            <w:tcBorders>
              <w:top w:val="single" w:color="000000" w:sz="4" w:space="0"/>
              <w:left w:val="single" w:color="000000" w:sz="4" w:space="0"/>
              <w:bottom w:val="single" w:color="000000" w:sz="4" w:space="0"/>
              <w:right w:val="single" w:color="000000" w:sz="4" w:space="0"/>
            </w:tcBorders>
            <w:tcW w:w="10222" w:type="dxa"/>
            <w:vAlign w:val="center"/>
            <w:textDirection w:val="lrTb"/>
            <w:noWrap w:val="false"/>
          </w:tcPr>
          <w:p>
            <w:pPr>
              <w:numPr>
                <w:ilvl w:val="0"/>
                <w:numId w:val="0"/>
              </w:numPr>
              <w:jc w:val="left"/>
              <w:keepLines w:val="0"/>
              <w:keepNext w:val="0"/>
              <w:pageBreakBefore w:val="0"/>
              <w:spacing w:line="360" w:lineRule="auto"/>
              <w:widowControl w:val="off"/>
              <w:rPr>
                <w:rFonts w:hint="eastAsia" w:ascii="宋体" w:hAnsi="宋体" w:cs="宋体"/>
                <w:b w:val="0"/>
                <w:bCs/>
                <w:i w:val="0"/>
                <w:iCs w:val="0"/>
                <w:color w:val="000000"/>
                <w:sz w:val="24"/>
                <w:szCs w:val="24"/>
                <w:highlight w:val="none"/>
                <w:lang w:val="en-US" w:eastAsia="zh-CN"/>
              </w:rPr>
            </w:pPr>
            <w:r>
              <w:rPr>
                <w:rFonts w:hint="eastAsia" w:ascii="宋体" w:hAnsi="宋体" w:cs="宋体"/>
                <w:b w:val="0"/>
                <w:bCs/>
                <w:i w:val="0"/>
                <w:iCs w:val="0"/>
                <w:color w:val="000000"/>
                <w:sz w:val="24"/>
                <w:szCs w:val="24"/>
                <w:highlight w:val="none"/>
                <w:lang w:val="en-US" w:eastAsia="zh-CN"/>
              </w:rPr>
              <w:t xml:space="preserve">注：整机选用铜管材料（包括：内、外风扇电机、管路系统、连接管道、蒸发器、冷凝器、厚2cm橡塑保温等）。</w:t>
            </w:r>
            <w:r/>
          </w:p>
          <w:p>
            <w:pPr>
              <w:numPr>
                <w:ilvl w:val="0"/>
                <w:numId w:val="0"/>
              </w:numPr>
              <w:jc w:val="left"/>
              <w:keepLines w:val="0"/>
              <w:keepNext w:val="0"/>
              <w:pageBreakBefore w:val="0"/>
              <w:spacing w:line="360" w:lineRule="auto"/>
              <w:widowControl w:val="off"/>
              <w:rPr>
                <w:rFonts w:hint="eastAsia" w:ascii="宋体" w:hAnsi="宋体" w:cs="宋体"/>
                <w:b w:val="0"/>
                <w:bCs/>
                <w:i w:val="0"/>
                <w:iCs w:val="0"/>
                <w:color w:val="000000"/>
                <w:sz w:val="24"/>
                <w:szCs w:val="24"/>
                <w:highlight w:val="none"/>
                <w:lang w:val="en-US" w:eastAsia="zh-CN"/>
              </w:rPr>
            </w:pPr>
            <w:r>
              <w:rPr>
                <w:rFonts w:hint="eastAsia" w:ascii="宋体" w:hAnsi="宋体" w:cs="宋体"/>
                <w:b w:val="0"/>
                <w:bCs/>
                <w:i w:val="0"/>
                <w:iCs w:val="0"/>
                <w:color w:val="000000"/>
                <w:sz w:val="24"/>
                <w:szCs w:val="24"/>
                <w:highlight w:val="none"/>
                <w:lang w:val="en-US" w:eastAsia="zh-CN"/>
              </w:rPr>
              <w:t xml:space="preserve">空调室外机支架：镀锌边宽4cm*4cm、边厚4mm角铁支架。</w:t>
            </w:r>
            <w:r/>
          </w:p>
        </w:tc>
      </w:tr>
    </w:tbl>
    <w:p>
      <w:pPr>
        <w:pStyle w:val="846"/>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numPr>
          <w:ilvl w:val="0"/>
          <w:numId w:val="0"/>
        </w:numPr>
        <w:jc w:val="left"/>
        <w:keepLines w:val="0"/>
        <w:keepNext w:val="0"/>
        <w:pageBreakBefore w:val="0"/>
        <w:spacing w:line="360" w:lineRule="auto"/>
        <w:widowControl w:val="off"/>
        <w:rPr>
          <w:rFonts w:hint="default" w:ascii="宋体" w:hAnsi="宋体" w:eastAsia="宋体" w:cs="宋体"/>
          <w:b w:val="0"/>
          <w:bCs/>
          <w:i w:val="0"/>
          <w:iCs w:val="0"/>
          <w:color w:val="000000"/>
          <w:sz w:val="24"/>
          <w:szCs w:val="24"/>
          <w:highlight w:val="none"/>
          <w:lang w:val="en-US" w:eastAsia="zh-CN"/>
        </w:rPr>
      </w:pPr>
      <w:r>
        <w:rPr>
          <w:rFonts w:hint="eastAsia" w:ascii="宋体" w:hAnsi="宋体" w:eastAsia="宋体" w:cs="宋体"/>
          <w:b w:val="0"/>
          <w:bCs/>
          <w:i w:val="0"/>
          <w:iCs w:val="0"/>
          <w:color w:val="000000"/>
          <w:sz w:val="24"/>
          <w:szCs w:val="24"/>
          <w:highlight w:val="none"/>
          <w:lang w:val="en-US" w:eastAsia="zh-CN"/>
        </w:rPr>
        <w:t xml:space="preserve">注：1</w:t>
      </w:r>
      <w:r>
        <w:rPr>
          <w:rFonts w:hint="eastAsia" w:ascii="宋体" w:hAnsi="宋体" w:eastAsia="宋体" w:cs="宋体"/>
          <w:b w:val="0"/>
          <w:bCs/>
          <w:i w:val="0"/>
          <w:iCs w:val="0"/>
          <w:color w:val="000000"/>
          <w:sz w:val="24"/>
          <w:szCs w:val="24"/>
          <w:highlight w:val="none"/>
        </w:rPr>
        <w:t xml:space="preserve">.</w:t>
      </w:r>
      <w:r>
        <w:rPr>
          <w:rFonts w:hint="eastAsia" w:ascii="宋体" w:hAnsi="宋体" w:cs="宋体"/>
          <w:b w:val="0"/>
          <w:bCs/>
          <w:i w:val="0"/>
          <w:iCs w:val="0"/>
          <w:color w:val="000000"/>
          <w:sz w:val="24"/>
          <w:szCs w:val="24"/>
          <w:highlight w:val="none"/>
          <w:lang w:val="en-US" w:eastAsia="zh-CN"/>
        </w:rPr>
        <w:t xml:space="preserve">办公桌椅、会议桌椅、汇报厅座椅、床、货架、网箱、餐桌、密码柜在采购前，需派人来现场量尺寸，确认安装等问题且经甲方确认符合招标文件要求后方可量采。</w:t>
      </w:r>
      <w:r/>
    </w:p>
    <w:p>
      <w:pPr>
        <w:ind w:firstLine="482"/>
        <w:keepLines w:val="0"/>
        <w:keepNext w:val="0"/>
        <w:pageBreakBefore w:val="0"/>
        <w:spacing w:line="360" w:lineRule="auto"/>
        <w:widowControl w:val="off"/>
        <w:rPr>
          <w:rFonts w:hint="eastAsia" w:ascii="宋体" w:hAnsi="宋体" w:eastAsia="宋体" w:cs="宋体"/>
          <w:b w:val="0"/>
          <w:bCs/>
          <w:i w:val="0"/>
          <w:iCs w:val="0"/>
          <w:color w:val="000000"/>
          <w:highlight w:val="none"/>
        </w:rPr>
      </w:pPr>
      <w:r>
        <w:rPr>
          <w:rFonts w:hint="eastAsia" w:ascii="宋体" w:hAnsi="宋体" w:cs="宋体"/>
          <w:b w:val="0"/>
          <w:bCs/>
          <w:i w:val="0"/>
          <w:iCs w:val="0"/>
          <w:color w:val="000000"/>
          <w:sz w:val="24"/>
          <w:szCs w:val="24"/>
          <w:highlight w:val="none"/>
          <w:lang w:val="en-US" w:eastAsia="zh-CN"/>
        </w:rPr>
        <w:t xml:space="preserve">2.</w:t>
      </w:r>
      <w:r>
        <w:rPr>
          <w:rFonts w:hint="eastAsia" w:ascii="宋体" w:hAnsi="宋体" w:eastAsia="宋体" w:cs="宋体"/>
          <w:b w:val="0"/>
          <w:bCs/>
          <w:i w:val="0"/>
          <w:iCs w:val="0"/>
          <w:color w:val="000000"/>
          <w:sz w:val="24"/>
          <w:szCs w:val="24"/>
          <w:highlight w:val="none"/>
        </w:rPr>
        <w:t xml:space="preserve">所有设备进场（安装前）均需采购人和项目监理单位验收合格后方可进场施工安装。</w:t>
      </w:r>
      <w:r/>
    </w:p>
    <w:p>
      <w:pPr>
        <w:ind w:firstLine="472"/>
        <w:keepLines w:val="0"/>
        <w:keepNext w:val="0"/>
        <w:pageBreakBefore w:val="0"/>
        <w:spacing w:line="360" w:lineRule="auto"/>
        <w:widowControl w:val="off"/>
        <w:rPr>
          <w:rFonts w:hint="eastAsia" w:ascii="宋体" w:hAnsi="宋体" w:eastAsia="宋体" w:cs="宋体"/>
          <w:b w:val="0"/>
          <w:bCs/>
          <w:i w:val="0"/>
          <w:iCs w:val="0"/>
          <w:color w:val="000000"/>
          <w:sz w:val="24"/>
          <w:szCs w:val="24"/>
          <w:highlight w:val="none"/>
        </w:rPr>
      </w:pPr>
      <w:r>
        <w:rPr>
          <w:rFonts w:hint="eastAsia" w:ascii="宋体" w:hAnsi="宋体" w:cs="宋体"/>
          <w:b w:val="0"/>
          <w:bCs/>
          <w:i w:val="0"/>
          <w:iCs w:val="0"/>
          <w:color w:val="000000"/>
          <w:sz w:val="24"/>
          <w:highlight w:val="none"/>
          <w:lang w:val="en-US" w:eastAsia="zh-CN"/>
        </w:rPr>
        <w:t xml:space="preserve">3.</w:t>
      </w:r>
      <w:r>
        <w:rPr>
          <w:rFonts w:hint="eastAsia" w:ascii="宋体" w:hAnsi="宋体" w:eastAsia="宋体" w:cs="宋体"/>
          <w:b w:val="0"/>
          <w:bCs/>
          <w:i w:val="0"/>
          <w:iCs w:val="0"/>
          <w:color w:val="000000"/>
          <w:sz w:val="24"/>
          <w:highlight w:val="none"/>
        </w:rPr>
        <w:t xml:space="preserve">各投标单位须综合考虑各点位施工现场情况、施工</w:t>
      </w:r>
      <w:r>
        <w:rPr>
          <w:rFonts w:hint="eastAsia" w:ascii="宋体" w:hAnsi="宋体" w:eastAsia="宋体" w:cs="宋体"/>
          <w:b w:val="0"/>
          <w:bCs/>
          <w:i w:val="0"/>
          <w:iCs w:val="0"/>
          <w:color w:val="000000"/>
          <w:sz w:val="24"/>
          <w:szCs w:val="24"/>
          <w:highlight w:val="none"/>
        </w:rPr>
        <w:t xml:space="preserve">难度、人员调度、交通费用等等，各点位施工所产生的任何费用均包含在投标报价中，采购人不另外支付任何费用。</w:t>
      </w:r>
      <w:r/>
    </w:p>
    <w:p>
      <w:pPr>
        <w:ind w:firstLine="482"/>
        <w:keepLines w:val="0"/>
        <w:keepNext w:val="0"/>
        <w:pageBreakBefore w:val="0"/>
        <w:spacing w:line="360" w:lineRule="auto"/>
        <w:widowControl w:val="off"/>
        <w:rPr>
          <w:rFonts w:hint="eastAsia" w:ascii="宋体" w:hAnsi="宋体" w:eastAsia="宋体" w:cs="宋体"/>
          <w:b w:val="0"/>
          <w:bCs/>
          <w:i w:val="0"/>
          <w:iCs w:val="0"/>
          <w:color w:val="000000"/>
          <w:sz w:val="24"/>
          <w:highlight w:val="none"/>
        </w:rPr>
      </w:pPr>
      <w:r>
        <w:rPr>
          <w:rFonts w:hint="eastAsia" w:ascii="宋体" w:hAnsi="宋体" w:cs="宋体"/>
          <w:b w:val="0"/>
          <w:bCs/>
          <w:i w:val="0"/>
          <w:iCs w:val="0"/>
          <w:color w:val="000000"/>
          <w:sz w:val="24"/>
          <w:highlight w:val="none"/>
          <w:lang w:val="en-US" w:eastAsia="zh-CN"/>
        </w:rPr>
        <w:t xml:space="preserve">4.</w:t>
      </w:r>
      <w:r>
        <w:rPr>
          <w:rFonts w:hint="eastAsia" w:ascii="宋体" w:hAnsi="宋体" w:eastAsia="宋体" w:cs="宋体"/>
          <w:b w:val="0"/>
          <w:bCs/>
          <w:i w:val="0"/>
          <w:iCs w:val="0"/>
          <w:color w:val="000000"/>
          <w:sz w:val="24"/>
          <w:highlight w:val="none"/>
        </w:rPr>
        <w:t xml:space="preserve">投标报价要求</w:t>
      </w:r>
      <w:r/>
    </w:p>
    <w:p>
      <w:pPr>
        <w:ind w:firstLine="482"/>
        <w:keepLines w:val="0"/>
        <w:keepNext w:val="0"/>
        <w:pageBreakBefore w:val="0"/>
        <w:spacing w:line="360" w:lineRule="auto"/>
        <w:widowControl w:val="off"/>
        <w:rPr>
          <w:rFonts w:hint="eastAsia" w:ascii="宋体" w:hAnsi="宋体" w:eastAsia="宋体" w:cs="宋体"/>
          <w:b w:val="0"/>
          <w:bCs/>
          <w:i w:val="0"/>
          <w:iCs w:val="0"/>
          <w:color w:val="000000"/>
          <w:sz w:val="24"/>
          <w:highlight w:val="none"/>
        </w:rPr>
      </w:pPr>
      <w:r>
        <w:rPr>
          <w:rFonts w:hint="eastAsia" w:ascii="宋体" w:hAnsi="宋体" w:cs="宋体"/>
          <w:b w:val="0"/>
          <w:bCs/>
          <w:i w:val="0"/>
          <w:iCs w:val="0"/>
          <w:color w:val="000000"/>
          <w:sz w:val="24"/>
          <w:highlight w:val="none"/>
          <w:lang w:val="en-US" w:eastAsia="zh-CN"/>
        </w:rPr>
        <w:t xml:space="preserve">4</w:t>
      </w:r>
      <w:r>
        <w:rPr>
          <w:rFonts w:hint="eastAsia" w:ascii="宋体" w:hAnsi="宋体" w:eastAsia="宋体" w:cs="宋体"/>
          <w:b w:val="0"/>
          <w:bCs/>
          <w:i w:val="0"/>
          <w:iCs w:val="0"/>
          <w:color w:val="000000"/>
          <w:sz w:val="24"/>
          <w:highlight w:val="none"/>
        </w:rPr>
        <w:t xml:space="preserve">.1 投</w:t>
      </w:r>
      <w:bookmarkStart w:id="172" w:name="_Hlt26954840"/>
      <w:r/>
      <w:bookmarkEnd w:id="172"/>
      <w:r>
        <w:rPr>
          <w:rFonts w:hint="eastAsia" w:ascii="宋体" w:hAnsi="宋体" w:eastAsia="宋体" w:cs="宋体"/>
          <w:b w:val="0"/>
          <w:bCs/>
          <w:i w:val="0"/>
          <w:iCs w:val="0"/>
          <w:color w:val="000000"/>
          <w:sz w:val="24"/>
          <w:highlight w:val="none"/>
        </w:rPr>
        <w:t xml:space="preserve">标人应按照招标文件规定格式填报</w:t>
      </w:r>
      <w:bookmarkStart w:id="173" w:name="_Hlt26670399"/>
      <w:r/>
      <w:bookmarkEnd w:id="173"/>
      <w:r>
        <w:rPr>
          <w:rFonts w:hint="eastAsia" w:ascii="宋体" w:hAnsi="宋体" w:eastAsia="宋体" w:cs="宋体"/>
          <w:b w:val="0"/>
          <w:bCs/>
          <w:i w:val="0"/>
          <w:iCs w:val="0"/>
          <w:color w:val="000000"/>
          <w:sz w:val="24"/>
          <w:highlight w:val="none"/>
        </w:rPr>
        <w:t xml:space="preserve">投标产品品牌型号及分项报价表，在表中标明所提供的设备品牌</w:t>
      </w:r>
      <w:r>
        <w:rPr>
          <w:rFonts w:hint="eastAsia" w:ascii="宋体" w:hAnsi="宋体" w:eastAsia="宋体" w:cs="宋体"/>
          <w:b w:val="0"/>
          <w:bCs/>
          <w:i w:val="0"/>
          <w:iCs w:val="0"/>
          <w:color w:val="000000"/>
          <w:sz w:val="24"/>
          <w:szCs w:val="24"/>
          <w:highlight w:val="none"/>
          <w:lang w:eastAsia="zh-CN"/>
        </w:rPr>
        <w:t xml:space="preserve">（</w:t>
      </w:r>
      <w:r>
        <w:rPr>
          <w:rFonts w:hint="eastAsia" w:ascii="宋体" w:hAnsi="宋体" w:eastAsia="宋体" w:cs="宋体"/>
          <w:b w:val="0"/>
          <w:bCs/>
          <w:i w:val="0"/>
          <w:iCs w:val="0"/>
          <w:color w:val="000000"/>
          <w:sz w:val="24"/>
          <w:szCs w:val="24"/>
          <w:highlight w:val="none"/>
        </w:rPr>
        <w:t xml:space="preserve">或生产企业</w:t>
      </w:r>
      <w:r>
        <w:rPr>
          <w:rFonts w:hint="eastAsia" w:ascii="宋体" w:hAnsi="宋体" w:eastAsia="宋体" w:cs="宋体"/>
          <w:b w:val="0"/>
          <w:bCs/>
          <w:i w:val="0"/>
          <w:iCs w:val="0"/>
          <w:color w:val="000000"/>
          <w:sz w:val="24"/>
          <w:szCs w:val="24"/>
          <w:highlight w:val="none"/>
          <w:lang w:eastAsia="zh-CN"/>
        </w:rPr>
        <w:t xml:space="preserve">）</w:t>
      </w:r>
      <w:r>
        <w:rPr>
          <w:rFonts w:hint="eastAsia" w:ascii="宋体" w:hAnsi="宋体" w:eastAsia="宋体" w:cs="宋体"/>
          <w:b w:val="0"/>
          <w:bCs/>
          <w:i w:val="0"/>
          <w:iCs w:val="0"/>
          <w:color w:val="000000"/>
          <w:sz w:val="24"/>
          <w:highlight w:val="none"/>
        </w:rPr>
        <w:t xml:space="preserve">、型号。每项货物和服务等只允许有一个报价，任何有选择的报价将不予接受</w:t>
      </w:r>
      <w:r>
        <w:rPr>
          <w:rFonts w:hint="eastAsia" w:ascii="宋体" w:hAnsi="宋体" w:eastAsia="宋体" w:cs="宋体"/>
          <w:b w:val="0"/>
          <w:bCs/>
          <w:i w:val="0"/>
          <w:iCs w:val="0"/>
          <w:color w:val="000000"/>
          <w:sz w:val="24"/>
          <w:highlight w:val="none"/>
          <w:lang w:eastAsia="zh-CN"/>
        </w:rPr>
        <w:t xml:space="preserve">（</w:t>
      </w:r>
      <w:r>
        <w:rPr>
          <w:rFonts w:hint="eastAsia" w:ascii="宋体" w:hAnsi="宋体" w:eastAsia="宋体" w:cs="宋体"/>
          <w:b w:val="0"/>
          <w:bCs/>
          <w:i w:val="0"/>
          <w:iCs w:val="0"/>
          <w:color w:val="000000"/>
          <w:sz w:val="24"/>
          <w:highlight w:val="none"/>
        </w:rPr>
        <w:t xml:space="preserve">如有备选配件，备选配件的报价不属于选择的报价</w:t>
      </w:r>
      <w:r>
        <w:rPr>
          <w:rFonts w:hint="eastAsia" w:ascii="宋体" w:hAnsi="宋体" w:eastAsia="宋体" w:cs="宋体"/>
          <w:b w:val="0"/>
          <w:bCs/>
          <w:i w:val="0"/>
          <w:iCs w:val="0"/>
          <w:color w:val="000000"/>
          <w:sz w:val="24"/>
          <w:highlight w:val="none"/>
          <w:lang w:eastAsia="zh-CN"/>
        </w:rPr>
        <w:t xml:space="preserve">）</w:t>
      </w:r>
      <w:r>
        <w:rPr>
          <w:rFonts w:hint="eastAsia" w:ascii="宋体" w:hAnsi="宋体" w:eastAsia="宋体" w:cs="宋体"/>
          <w:b w:val="0"/>
          <w:bCs/>
          <w:i w:val="0"/>
          <w:iCs w:val="0"/>
          <w:color w:val="000000"/>
          <w:sz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val="0"/>
          <w:bCs/>
          <w:i w:val="0"/>
          <w:iCs w:val="0"/>
          <w:color w:val="000000"/>
          <w:sz w:val="24"/>
          <w:highlight w:val="none"/>
        </w:rPr>
      </w:pPr>
      <w:r>
        <w:rPr>
          <w:rFonts w:hint="eastAsia" w:ascii="宋体" w:hAnsi="宋体" w:cs="宋体"/>
          <w:b w:val="0"/>
          <w:bCs/>
          <w:i w:val="0"/>
          <w:iCs w:val="0"/>
          <w:color w:val="000000"/>
          <w:sz w:val="24"/>
          <w:highlight w:val="none"/>
          <w:lang w:val="en-US" w:eastAsia="zh-CN"/>
        </w:rPr>
        <w:t xml:space="preserve">4</w:t>
      </w:r>
      <w:r>
        <w:rPr>
          <w:rFonts w:hint="eastAsia" w:ascii="宋体" w:hAnsi="宋体" w:eastAsia="宋体" w:cs="宋体"/>
          <w:b w:val="0"/>
          <w:bCs/>
          <w:i w:val="0"/>
          <w:iCs w:val="0"/>
          <w:color w:val="000000"/>
          <w:sz w:val="24"/>
          <w:highlight w:val="none"/>
        </w:rPr>
        <w:t xml:space="preserve">.2 标的物</w:t>
      </w:r>
      <w:r/>
    </w:p>
    <w:p>
      <w:pPr>
        <w:ind w:firstLine="482"/>
        <w:keepLines w:val="0"/>
        <w:keepNext w:val="0"/>
        <w:pageBreakBefore w:val="0"/>
        <w:spacing w:line="360" w:lineRule="auto"/>
        <w:widowControl w:val="off"/>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采购人需求的货物（含相关附配件）的采购、包装、运输、安装、调试、培训、验收、</w:t>
      </w:r>
      <w:r>
        <w:rPr>
          <w:rFonts w:hint="eastAsia" w:ascii="宋体" w:hAnsi="宋体" w:eastAsia="宋体" w:cs="宋体"/>
          <w:b w:val="0"/>
          <w:bCs/>
          <w:i w:val="0"/>
          <w:iCs w:val="0"/>
          <w:color w:val="000000"/>
          <w:sz w:val="24"/>
          <w:highlight w:val="none"/>
          <w:lang w:val="en-US" w:eastAsia="zh-CN"/>
        </w:rPr>
        <w:t xml:space="preserve">3</w:t>
      </w:r>
      <w:r>
        <w:rPr>
          <w:rFonts w:hint="eastAsia" w:ascii="宋体" w:hAnsi="宋体" w:eastAsia="宋体" w:cs="宋体"/>
          <w:b w:val="0"/>
          <w:bCs/>
          <w:i w:val="0"/>
          <w:iCs w:val="0"/>
          <w:color w:val="000000"/>
          <w:sz w:val="24"/>
          <w:highlight w:val="none"/>
        </w:rPr>
        <w:t xml:space="preserve">年质量保修期内维保及有关售后服务等。</w:t>
      </w:r>
      <w:r/>
    </w:p>
    <w:p>
      <w:pPr>
        <w:ind w:firstLine="482"/>
        <w:keepLines w:val="0"/>
        <w:keepNext w:val="0"/>
        <w:pageBreakBefore w:val="0"/>
        <w:spacing w:line="360" w:lineRule="auto"/>
        <w:widowControl w:val="off"/>
        <w:rPr>
          <w:rFonts w:hint="eastAsia" w:ascii="宋体" w:hAnsi="宋体" w:eastAsia="宋体" w:cs="宋体"/>
          <w:b w:val="0"/>
          <w:bCs/>
          <w:i w:val="0"/>
          <w:iCs w:val="0"/>
          <w:color w:val="000000"/>
          <w:sz w:val="24"/>
          <w:highlight w:val="none"/>
        </w:rPr>
      </w:pPr>
      <w:r>
        <w:rPr>
          <w:rFonts w:hint="eastAsia" w:ascii="宋体" w:hAnsi="宋体" w:cs="宋体"/>
          <w:b w:val="0"/>
          <w:bCs/>
          <w:i w:val="0"/>
          <w:iCs w:val="0"/>
          <w:color w:val="000000"/>
          <w:sz w:val="24"/>
          <w:highlight w:val="none"/>
          <w:lang w:val="en-US" w:eastAsia="zh-CN"/>
        </w:rPr>
        <w:t xml:space="preserve">4</w:t>
      </w:r>
      <w:r>
        <w:rPr>
          <w:rFonts w:hint="eastAsia" w:ascii="宋体" w:hAnsi="宋体" w:eastAsia="宋体" w:cs="宋体"/>
          <w:b w:val="0"/>
          <w:bCs/>
          <w:i w:val="0"/>
          <w:iCs w:val="0"/>
          <w:color w:val="000000"/>
          <w:sz w:val="24"/>
          <w:highlight w:val="none"/>
        </w:rPr>
        <w:t xml:space="preserve">.3有关费用处理</w:t>
      </w:r>
      <w:r/>
    </w:p>
    <w:p>
      <w:pPr>
        <w:ind w:firstLine="425"/>
        <w:jc w:val="left"/>
        <w:keepLines w:val="0"/>
        <w:keepNext w:val="0"/>
        <w:pageBreakBefore w:val="0"/>
        <w:spacing w:line="360" w:lineRule="auto"/>
        <w:widowControl w:val="off"/>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招标报价采用总承包方式，投标人的报价应包括所投产品并进行相关服务所需的所有费用，即主要包括（但不限于）：所投产品费用（含全套空调内外机及空调外机机架、配件、备品备件、专用工具、技术资料等）、直接和间接成本费、劳务费、清洁费、包装费、采购费、运杂费（含运输费）、装卸费（含上下力资）、保险费、保修费、管理费、安装费（含用户墙面空调洞打孔费）、调试费、</w:t>
      </w:r>
      <w:r>
        <w:rPr>
          <w:rFonts w:hint="eastAsia" w:ascii="宋体" w:hAnsi="宋体" w:cs="宋体"/>
          <w:color w:val="000000"/>
          <w:sz w:val="24"/>
          <w:szCs w:val="24"/>
        </w:rPr>
        <w:t xml:space="preserve">质保期内维保</w:t>
      </w:r>
      <w:r>
        <w:rPr>
          <w:rFonts w:hint="eastAsia" w:ascii="宋体" w:hAnsi="宋体" w:cs="宋体"/>
          <w:color w:val="000000"/>
          <w:sz w:val="24"/>
          <w:szCs w:val="24"/>
          <w:lang w:eastAsia="zh-CN"/>
        </w:rPr>
        <w:t xml:space="preserve">、</w:t>
      </w:r>
      <w:r>
        <w:rPr>
          <w:rFonts w:hint="eastAsia" w:ascii="宋体" w:hAnsi="宋体" w:eastAsia="宋体" w:cs="宋体"/>
          <w:b w:val="0"/>
          <w:bCs/>
          <w:i w:val="0"/>
          <w:iCs w:val="0"/>
          <w:color w:val="000000"/>
          <w:sz w:val="24"/>
          <w:highlight w:val="none"/>
        </w:rPr>
        <w:t xml:space="preserve">售后服务费、投标费用、税金、利润、风险费、成品保护费、不可预见费及其他一切相关费用等所需的全部费用，凡漏项或少计均视为优惠，甲方不另行增加费用。各类风险和政策性调整等风险已包括在合同价中，最终结算时除合同约定调整外一律不予调整。</w:t>
      </w:r>
      <w:r/>
    </w:p>
    <w:p>
      <w:pPr>
        <w:ind w:firstLine="425"/>
        <w:jc w:val="left"/>
        <w:keepLines w:val="0"/>
        <w:keepNext w:val="0"/>
        <w:pageBreakBefore w:val="0"/>
        <w:spacing w:line="360" w:lineRule="auto"/>
        <w:widowControl w:val="off"/>
        <w:rPr>
          <w:rFonts w:hint="eastAsia" w:ascii="宋体" w:hAnsi="宋体" w:eastAsia="宋体" w:cs="宋体"/>
          <w:b w:val="0"/>
          <w:bCs/>
          <w:i w:val="0"/>
          <w:iCs w:val="0"/>
          <w:color w:val="000000"/>
          <w:sz w:val="24"/>
          <w:szCs w:val="24"/>
          <w:highlight w:val="none"/>
          <w:lang w:val="en-US" w:eastAsia="zh-CN"/>
        </w:rPr>
      </w:pPr>
      <w:r>
        <w:rPr>
          <w:rFonts w:hint="eastAsia" w:ascii="宋体" w:hAnsi="宋体" w:cs="宋体"/>
          <w:b w:val="0"/>
          <w:bCs/>
          <w:i w:val="0"/>
          <w:iCs w:val="0"/>
          <w:color w:val="000000"/>
          <w:sz w:val="24"/>
          <w:szCs w:val="24"/>
          <w:highlight w:val="none"/>
          <w:lang w:val="en-US" w:eastAsia="zh-CN"/>
        </w:rPr>
        <w:t xml:space="preserve">5.</w:t>
      </w:r>
      <w:r>
        <w:rPr>
          <w:rFonts w:hint="eastAsia" w:ascii="宋体" w:hAnsi="宋体" w:eastAsia="宋体" w:cs="宋体"/>
          <w:b w:val="0"/>
          <w:bCs/>
          <w:i w:val="0"/>
          <w:iCs w:val="0"/>
          <w:color w:val="000000"/>
          <w:sz w:val="24"/>
          <w:szCs w:val="24"/>
          <w:highlight w:val="none"/>
          <w:lang w:val="en-US" w:eastAsia="zh-CN"/>
        </w:rPr>
        <w:t xml:space="preserve">售后服务要求</w:t>
      </w:r>
      <w:r/>
    </w:p>
    <w:p>
      <w:pPr>
        <w:ind w:firstLine="482"/>
        <w:keepLines w:val="0"/>
        <w:keepNext w:val="0"/>
        <w:pageBreakBefore w:val="0"/>
        <w:spacing w:line="360" w:lineRule="auto"/>
        <w:widowControl w:val="off"/>
        <w:tabs>
          <w:tab w:val="left" w:pos="1035" w:leader="none"/>
        </w:tabs>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lang w:val="en-US" w:eastAsia="zh-CN"/>
        </w:rPr>
        <w:t xml:space="preserve">5</w:t>
      </w:r>
      <w:r>
        <w:rPr>
          <w:rFonts w:hint="eastAsia" w:ascii="宋体" w:hAnsi="宋体" w:eastAsia="宋体" w:cs="宋体"/>
          <w:b w:val="0"/>
          <w:bCs/>
          <w:i w:val="0"/>
          <w:iCs w:val="0"/>
          <w:color w:val="000000"/>
          <w:sz w:val="24"/>
          <w:szCs w:val="24"/>
          <w:highlight w:val="none"/>
        </w:rPr>
        <w:t xml:space="preserve">.1 在招标文件规定的</w:t>
      </w:r>
      <w:r>
        <w:rPr>
          <w:rFonts w:hint="eastAsia" w:ascii="宋体" w:hAnsi="宋体" w:eastAsia="宋体" w:cs="宋体"/>
          <w:b w:val="0"/>
          <w:bCs/>
          <w:i w:val="0"/>
          <w:iCs w:val="0"/>
          <w:color w:val="000000"/>
          <w:sz w:val="24"/>
          <w:szCs w:val="24"/>
          <w:highlight w:val="none"/>
          <w:lang w:val="en-US" w:eastAsia="zh-CN"/>
        </w:rPr>
        <w:t xml:space="preserve">3</w:t>
      </w:r>
      <w:r>
        <w:rPr>
          <w:rFonts w:hint="eastAsia" w:ascii="宋体" w:hAnsi="宋体" w:eastAsia="宋体" w:cs="宋体"/>
          <w:b w:val="0"/>
          <w:bCs/>
          <w:i w:val="0"/>
          <w:iCs w:val="0"/>
          <w:color w:val="000000"/>
          <w:sz w:val="24"/>
          <w:szCs w:val="24"/>
          <w:highlight w:val="none"/>
        </w:rPr>
        <w:t xml:space="preserve">年质量保修期内，投标人应对招标范围内所有损坏（人为损坏除外）的货物及零部件修理或更换，并承担由此所发生的修理或更换费、检测费、维修人员工资、往返费用等一切费用。</w:t>
      </w:r>
      <w:r/>
    </w:p>
    <w:p>
      <w:pPr>
        <w:ind w:firstLine="482"/>
        <w:keepLines w:val="0"/>
        <w:keepNext w:val="0"/>
        <w:pageBreakBefore w:val="0"/>
        <w:spacing w:line="360" w:lineRule="auto"/>
        <w:widowControl w:val="off"/>
        <w:tabs>
          <w:tab w:val="left" w:pos="1035" w:leader="none"/>
        </w:tabs>
        <w:rPr>
          <w:rFonts w:hint="eastAsia" w:ascii="宋体" w:hAnsi="宋体" w:eastAsia="宋体" w:cs="宋体"/>
          <w:b w:val="0"/>
          <w:bCs/>
          <w:i w:val="0"/>
          <w:iCs w:val="0"/>
          <w:color w:val="000000"/>
          <w:sz w:val="24"/>
          <w:szCs w:val="24"/>
          <w:highlight w:val="none"/>
        </w:rPr>
      </w:pPr>
      <w:r>
        <w:rPr>
          <w:rFonts w:hint="eastAsia" w:ascii="宋体" w:hAnsi="宋体" w:cs="宋体"/>
          <w:b w:val="0"/>
          <w:bCs/>
          <w:i w:val="0"/>
          <w:iCs w:val="0"/>
          <w:color w:val="000000"/>
          <w:sz w:val="24"/>
          <w:szCs w:val="24"/>
          <w:highlight w:val="none"/>
          <w:lang w:val="en-US" w:eastAsia="zh-CN"/>
        </w:rPr>
        <w:t xml:space="preserve">5</w:t>
      </w:r>
      <w:r>
        <w:rPr>
          <w:rFonts w:hint="eastAsia" w:ascii="宋体" w:hAnsi="宋体" w:eastAsia="宋体" w:cs="宋体"/>
          <w:b w:val="0"/>
          <w:bCs/>
          <w:i w:val="0"/>
          <w:iCs w:val="0"/>
          <w:color w:val="000000"/>
          <w:sz w:val="24"/>
          <w:szCs w:val="24"/>
          <w:highlight w:val="none"/>
        </w:rPr>
        <w:t xml:space="preserve">.</w:t>
      </w:r>
      <w:r>
        <w:rPr>
          <w:rFonts w:hint="eastAsia" w:ascii="宋体" w:hAnsi="宋体" w:eastAsia="宋体" w:cs="宋体"/>
          <w:b w:val="0"/>
          <w:bCs/>
          <w:i w:val="0"/>
          <w:iCs w:val="0"/>
          <w:color w:val="000000"/>
          <w:sz w:val="24"/>
          <w:szCs w:val="24"/>
          <w:highlight w:val="none"/>
          <w:lang w:val="en-US" w:eastAsia="zh-CN"/>
        </w:rPr>
        <w:t xml:space="preserve">2</w:t>
      </w:r>
      <w:r>
        <w:rPr>
          <w:rFonts w:hint="eastAsia" w:ascii="宋体" w:hAnsi="宋体" w:eastAsia="宋体" w:cs="宋体"/>
          <w:b w:val="0"/>
          <w:bCs/>
          <w:i w:val="0"/>
          <w:iCs w:val="0"/>
          <w:color w:val="000000"/>
          <w:sz w:val="24"/>
          <w:szCs w:val="24"/>
          <w:highlight w:val="none"/>
        </w:rPr>
        <w:t xml:space="preserve"> 在</w:t>
      </w:r>
      <w:r>
        <w:rPr>
          <w:rFonts w:hint="eastAsia" w:ascii="宋体" w:hAnsi="宋体" w:eastAsia="宋体" w:cs="宋体"/>
          <w:b w:val="0"/>
          <w:bCs/>
          <w:i w:val="0"/>
          <w:iCs w:val="0"/>
          <w:color w:val="000000"/>
          <w:sz w:val="24"/>
          <w:szCs w:val="24"/>
          <w:highlight w:val="none"/>
          <w:lang w:val="en-US" w:eastAsia="zh-CN"/>
        </w:rPr>
        <w:t xml:space="preserve">3</w:t>
      </w:r>
      <w:r>
        <w:rPr>
          <w:rFonts w:hint="eastAsia" w:ascii="宋体" w:hAnsi="宋体" w:eastAsia="宋体" w:cs="宋体"/>
          <w:b w:val="0"/>
          <w:bCs/>
          <w:i w:val="0"/>
          <w:iCs w:val="0"/>
          <w:color w:val="000000"/>
          <w:sz w:val="24"/>
          <w:szCs w:val="24"/>
          <w:highlight w:val="none"/>
        </w:rPr>
        <w:t xml:space="preserve">年质量保修期内，如需要更换零部件，保证须在一周内完成，所供零部件的性能和作用不低于原配置要求，否则，招标人有权自行购置，费用在合同款中扣付。</w:t>
      </w:r>
      <w:r/>
    </w:p>
    <w:p>
      <w:pPr>
        <w:ind w:firstLine="482"/>
        <w:keepLines w:val="0"/>
        <w:keepNext w:val="0"/>
        <w:pageBreakBefore w:val="0"/>
        <w:spacing w:line="360" w:lineRule="auto"/>
        <w:widowControl w:val="off"/>
        <w:tabs>
          <w:tab w:val="left" w:pos="1035" w:leader="none"/>
        </w:tabs>
        <w:rPr>
          <w:rFonts w:hint="eastAsia" w:ascii="宋体" w:hAnsi="宋体" w:eastAsia="宋体" w:cs="宋体"/>
          <w:color w:val="auto"/>
          <w:sz w:val="24"/>
          <w:szCs w:val="24"/>
          <w:highlight w:val="none"/>
          <w:shd w:val="clear" w:color="auto" w:fill="auto"/>
          <w:lang w:eastAsia="zh-CN"/>
        </w:rPr>
      </w:pPr>
      <w:r>
        <w:rPr>
          <w:rFonts w:hint="eastAsia" w:ascii="宋体" w:hAnsi="宋体" w:cs="宋体"/>
          <w:b w:val="0"/>
          <w:bCs/>
          <w:i w:val="0"/>
          <w:iCs w:val="0"/>
          <w:color w:val="000000"/>
          <w:sz w:val="24"/>
          <w:szCs w:val="24"/>
          <w:highlight w:val="none"/>
          <w:lang w:val="en-US" w:eastAsia="zh-CN"/>
        </w:rPr>
        <w:t xml:space="preserve">5</w:t>
      </w:r>
      <w:r>
        <w:rPr>
          <w:rFonts w:hint="eastAsia" w:ascii="宋体" w:hAnsi="宋体" w:eastAsia="宋体" w:cs="宋体"/>
          <w:b w:val="0"/>
          <w:bCs/>
          <w:i w:val="0"/>
          <w:iCs w:val="0"/>
          <w:color w:val="000000"/>
          <w:sz w:val="24"/>
          <w:szCs w:val="24"/>
          <w:highlight w:val="none"/>
        </w:rPr>
        <w:t xml:space="preserve">.</w:t>
      </w:r>
      <w:r>
        <w:rPr>
          <w:rFonts w:hint="eastAsia" w:ascii="宋体" w:hAnsi="宋体" w:eastAsia="宋体" w:cs="宋体"/>
          <w:b w:val="0"/>
          <w:bCs/>
          <w:i w:val="0"/>
          <w:iCs w:val="0"/>
          <w:color w:val="000000"/>
          <w:sz w:val="24"/>
          <w:szCs w:val="24"/>
          <w:highlight w:val="none"/>
          <w:lang w:val="en-US" w:eastAsia="zh-CN"/>
        </w:rPr>
        <w:t xml:space="preserve">3</w:t>
      </w:r>
      <w:r>
        <w:rPr>
          <w:rFonts w:hint="eastAsia" w:ascii="宋体" w:hAnsi="宋体" w:eastAsia="宋体" w:cs="宋体"/>
          <w:b w:val="0"/>
          <w:bCs/>
          <w:i w:val="0"/>
          <w:iCs w:val="0"/>
          <w:color w:val="000000"/>
          <w:sz w:val="24"/>
          <w:szCs w:val="24"/>
          <w:highlight w:val="none"/>
        </w:rPr>
        <w:t xml:space="preserve">在</w:t>
      </w:r>
      <w:r>
        <w:rPr>
          <w:rFonts w:hint="eastAsia" w:ascii="宋体" w:hAnsi="宋体" w:eastAsia="宋体" w:cs="宋体"/>
          <w:b w:val="0"/>
          <w:bCs/>
          <w:i w:val="0"/>
          <w:iCs w:val="0"/>
          <w:color w:val="000000"/>
          <w:sz w:val="24"/>
          <w:szCs w:val="24"/>
          <w:highlight w:val="none"/>
          <w:lang w:val="en-US" w:eastAsia="zh-CN"/>
        </w:rPr>
        <w:t xml:space="preserve">3</w:t>
      </w:r>
      <w:r>
        <w:rPr>
          <w:rFonts w:hint="eastAsia" w:ascii="宋体" w:hAnsi="宋体" w:eastAsia="宋体" w:cs="宋体"/>
          <w:b w:val="0"/>
          <w:bCs/>
          <w:i w:val="0"/>
          <w:iCs w:val="0"/>
          <w:color w:val="000000"/>
          <w:sz w:val="24"/>
          <w:szCs w:val="24"/>
          <w:highlight w:val="none"/>
        </w:rPr>
        <w:t xml:space="preserve">年质量保修期满后，如招标人仍要求供应商提供相关服务，投标人还应提供服务，但发生的费用由招标人承担。</w:t>
      </w:r>
      <w:r/>
    </w:p>
    <w:p>
      <w:pPr>
        <w:pStyle w:val="846"/>
        <w:jc w:val="both"/>
        <w:keepLines w:val="0"/>
        <w:keepNext w:val="0"/>
        <w:pageBreakBefore w:val="0"/>
        <w:spacing w:beforeAutospacing="0" w:afterAutospacing="0"/>
        <w:widowControl w:val="off"/>
        <w:rPr>
          <w:rFonts w:ascii="黑体" w:hAnsi="宋体" w:eastAsia="黑体" w:cs="黑体"/>
          <w:color w:val="000000"/>
          <w:sz w:val="44"/>
          <w:szCs w:val="44"/>
          <w:highlight w:val="none"/>
        </w:rPr>
      </w:pPr>
      <w:r>
        <w:rPr>
          <w:rFonts w:ascii="黑体" w:hAnsi="宋体" w:eastAsia="黑体" w:cs="黑体"/>
          <w:color w:val="000000"/>
          <w:sz w:val="44"/>
          <w:szCs w:val="44"/>
          <w:highlight w:val="none"/>
        </w:rPr>
      </w:r>
      <w:r/>
    </w:p>
    <w:p>
      <w:pPr>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846"/>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w:t>
      </w:r>
      <w:r>
        <w:rPr>
          <w:rFonts w:hint="eastAsia" w:ascii="宋体" w:hAnsi="宋体" w:eastAsia="宋体" w:cs="宋体"/>
          <w:color w:val="000000"/>
          <w:sz w:val="24"/>
          <w:szCs w:val="24"/>
          <w:highlight w:val="none"/>
          <w:lang w:val="en-US" w:eastAsia="zh-CN"/>
        </w:rPr>
        <w:t xml:space="preserve">每包件各</w:t>
      </w:r>
      <w:r>
        <w:rPr>
          <w:rFonts w:hint="eastAsia" w:ascii="宋体" w:hAnsi="宋体" w:eastAsia="宋体" w:cs="宋体"/>
          <w:color w:val="000000"/>
          <w:sz w:val="24"/>
          <w:szCs w:val="24"/>
          <w:highlight w:val="none"/>
        </w:rPr>
        <w:t xml:space="preserve">选取</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名中标候选人。</w:t>
      </w:r>
      <w:r/>
    </w:p>
    <w:p>
      <w:pPr>
        <w:pStyle w:val="846"/>
        <w:ind w:firstLine="441"/>
        <w:spacing w:before="120" w:beforeAutospacing="0" w:after="120" w:afterAutospacing="0" w:line="360" w:lineRule="auto"/>
        <w:rPr>
          <w:rFonts w:hint="eastAsia" w:ascii="宋体" w:hAnsi="宋体" w:eastAsia="宋体" w:cs="宋体"/>
          <w:b/>
          <w:color w:val="000000"/>
          <w:sz w:val="24"/>
          <w:szCs w:val="24"/>
          <w:highlight w:val="none"/>
        </w:rPr>
      </w:pPr>
      <w:r>
        <w:rPr>
          <w:rFonts w:hint="eastAsia" w:ascii="宋体" w:hAnsi="宋体" w:cs="宋体"/>
          <w:b/>
          <w:bCs/>
          <w:sz w:val="24"/>
          <w:szCs w:val="24"/>
          <w:highlight w:val="none"/>
          <w:u w:val="single"/>
          <w:lang w:val="en-US" w:eastAsia="zh-CN"/>
        </w:rPr>
        <w:t xml:space="preserve">投标人可以投其中一个或两个包件，皆可中标。</w:t>
      </w:r>
      <w:r>
        <w:rPr>
          <w:rFonts w:hint="eastAsia" w:ascii="宋体" w:hAnsi="宋体" w:cs="宋体"/>
          <w:b/>
          <w:bCs/>
          <w:sz w:val="24"/>
          <w:szCs w:val="24"/>
          <w:highlight w:val="none"/>
          <w:u w:val="single"/>
        </w:rPr>
        <w:t xml:space="preserve">本项目的开标、评标、定标顺序均按包件一 →包件二进行</w:t>
      </w:r>
      <w:r>
        <w:rPr>
          <w:rFonts w:hint="eastAsia" w:ascii="宋体" w:hAnsi="宋体" w:cs="宋体"/>
          <w:b/>
          <w:bCs/>
          <w:sz w:val="24"/>
          <w:szCs w:val="24"/>
          <w:highlight w:val="none"/>
          <w:u w:val="single"/>
          <w:lang w:eastAsia="zh-CN"/>
        </w:rPr>
        <w:t xml:space="preserve">。</w:t>
      </w:r>
      <w:r/>
    </w:p>
    <w:p>
      <w:pPr>
        <w:pStyle w:val="846"/>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846"/>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1、小微型企业价格扣除</w:t>
      </w:r>
      <w:r/>
    </w:p>
    <w:p>
      <w:pPr>
        <w:pStyle w:val="858"/>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（1）本项目若不专门面向中小企业采购，对</w:t>
      </w:r>
      <w:r>
        <w:rPr>
          <w:rFonts w:hint="eastAsia" w:ascii="宋体" w:hAnsi="宋体" w:eastAsia="宋体" w:cs="宋体"/>
          <w:sz w:val="24"/>
          <w:szCs w:val="24"/>
          <w:highlight w:val="none"/>
          <w:lang w:val="en-US" w:eastAsia="zh-CN"/>
        </w:rPr>
        <w:t xml:space="preserve">符合规定的</w:t>
      </w:r>
      <w:r>
        <w:rPr>
          <w:rFonts w:hint="eastAsia" w:ascii="宋体" w:hAnsi="宋体" w:eastAsia="宋体" w:cs="宋体"/>
          <w:sz w:val="24"/>
          <w:szCs w:val="24"/>
          <w:highlight w:val="none"/>
        </w:rPr>
        <w:t xml:space="preserve">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给予20%的扣除价格，用扣除后的价格参与评审；若专门面向中小企业采购，不再对小型和微型企业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给予价格扣除。</w:t>
      </w:r>
      <w:r/>
    </w:p>
    <w:p>
      <w:pPr>
        <w:pStyle w:val="846"/>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000000"/>
          <w:sz w:val="24"/>
          <w:szCs w:val="24"/>
          <w:highlight w:val="none"/>
        </w:rPr>
        <w:t xml:space="preserve">》。</w:t>
      </w:r>
      <w:r/>
    </w:p>
    <w:p>
      <w:pPr>
        <w:pStyle w:val="846"/>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p>
    <w:p>
      <w:pPr>
        <w:pStyle w:val="846"/>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p>
    <w:p>
      <w:pPr>
        <w:pStyle w:val="846"/>
        <w:ind w:left="120" w:firstLine="36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846"/>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pStyle w:val="846"/>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pStyle w:val="846"/>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p>
    <w:p>
      <w:pPr>
        <w:pStyle w:val="846"/>
        <w:ind w:firstLine="48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846"/>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6"/>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p>
    <w:p>
      <w:pPr>
        <w:pStyle w:val="846"/>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p>
    <w:p>
      <w:pPr>
        <w:pStyle w:val="846"/>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rPr>
        <w:t xml:space="preserve">的价格扣除，用扣除后的价格参与评审。</w:t>
      </w:r>
      <w:r/>
    </w:p>
    <w:p>
      <w:pPr>
        <w:pStyle w:val="846"/>
        <w:ind w:firstLine="480"/>
        <w:spacing w:before="120" w:beforeAutospacing="0" w:after="120" w:afterAutospacing="0" w:line="0" w:lineRule="atLeast"/>
        <w:rPr>
          <w:rFonts w:hint="eastAsia" w:ascii="宋体" w:hAnsi="宋体" w:eastAsia="宋体" w:cs="宋体"/>
          <w:color w:val="auto"/>
          <w:sz w:val="24"/>
          <w:szCs w:val="24"/>
          <w:highlight w:val="none"/>
          <w:u w:val="single"/>
        </w:rPr>
      </w:pPr>
      <w:r>
        <w:rPr>
          <w:rFonts w:hint="eastAsia" w:ascii="宋体" w:hAnsi="宋体" w:eastAsia="宋体" w:cs="宋体"/>
          <w:color w:val="000000"/>
          <w:sz w:val="24"/>
          <w:szCs w:val="24"/>
          <w:highlight w:val="none"/>
        </w:rPr>
        <w:t xml:space="preserve">6、联合体各方均为小型、微型企业（残疾人福利单位、监狱企业）的，联合</w:t>
      </w:r>
      <w:r>
        <w:rPr>
          <w:rFonts w:hint="eastAsia" w:ascii="宋体" w:hAnsi="宋体" w:eastAsia="宋体" w:cs="宋体"/>
          <w:color w:val="auto"/>
          <w:sz w:val="24"/>
          <w:szCs w:val="24"/>
          <w:highlight w:val="none"/>
        </w:rPr>
        <w:t xml:space="preserve">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包件一</w:t>
      </w:r>
      <w:r>
        <w:rPr>
          <w:rFonts w:hint="eastAsia" w:ascii="宋体" w:hAnsi="宋体" w:eastAsia="宋体" w:cs="宋体"/>
          <w:b/>
          <w:color w:val="auto"/>
          <w:sz w:val="24"/>
          <w:szCs w:val="24"/>
          <w:highlight w:val="none"/>
        </w:rPr>
        <w:t xml:space="preserve">评标方法与评标标准</w:t>
      </w:r>
      <w:r/>
    </w:p>
    <w:tbl>
      <w:tblPr>
        <w:tblStyle w:val="837"/>
        <w:tblW w:w="5600" w:type="pct"/>
        <w:tblInd w:w="-490" w:type="dxa"/>
        <w:tblLayout w:type="fixed"/>
        <w:tblCellMar>
          <w:left w:w="108" w:type="dxa"/>
          <w:top w:w="0" w:type="dxa"/>
          <w:right w:w="108" w:type="dxa"/>
          <w:bottom w:w="0" w:type="dxa"/>
        </w:tblCellMar>
        <w:tblLook w:val="04A0" w:firstRow="1" w:lastRow="0" w:firstColumn="1" w:lastColumn="0" w:noHBand="0" w:noVBand="1"/>
      </w:tblPr>
      <w:tblGrid>
        <w:gridCol w:w="997"/>
        <w:gridCol w:w="1335"/>
        <w:gridCol w:w="1491"/>
        <w:gridCol w:w="6857"/>
      </w:tblGrid>
      <w:tr>
        <w:trPr>
          <w:trHeight w:val="45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widowControl/>
              <w:rPr>
                <w:rFonts w:hint="eastAsia" w:ascii="宋体" w:hAnsi="宋体" w:eastAsia="宋体" w:cs="宋体"/>
                <w:b/>
                <w:bCs/>
                <w:i w:val="0"/>
                <w:iCs w:val="0"/>
                <w:color w:val="000000"/>
                <w:sz w:val="21"/>
                <w:szCs w:val="21"/>
              </w:rPr>
            </w:pPr>
            <w:r>
              <w:rPr>
                <w:rFonts w:hint="eastAsia" w:ascii="宋体" w:hAnsi="宋体" w:eastAsia="宋体" w:cs="宋体"/>
                <w:b/>
                <w:bCs/>
                <w:i w:val="0"/>
                <w:iCs w:val="0"/>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eastAsia="宋体" w:cs="宋体"/>
                <w:b/>
                <w:bCs/>
                <w:i w:val="0"/>
                <w:iCs w:val="0"/>
                <w:color w:val="000000"/>
                <w:sz w:val="21"/>
                <w:szCs w:val="21"/>
              </w:rPr>
            </w:pPr>
            <w:r>
              <w:rPr>
                <w:rFonts w:hint="eastAsia" w:ascii="宋体" w:hAnsi="宋体" w:eastAsia="宋体" w:cs="宋体"/>
                <w:b/>
                <w:bCs/>
                <w:i w:val="0"/>
                <w:iCs w:val="0"/>
                <w:color w:val="000000"/>
                <w:sz w:val="21"/>
                <w:szCs w:val="21"/>
                <w:lang w:bidi="ar"/>
              </w:rPr>
              <w:t xml:space="preserve">评审因素</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eastAsia="宋体" w:cs="宋体"/>
                <w:b/>
                <w:bCs/>
                <w:i w:val="0"/>
                <w:iCs w:val="0"/>
                <w:color w:val="000000"/>
                <w:sz w:val="21"/>
                <w:szCs w:val="21"/>
                <w:lang w:eastAsia="zh-CN"/>
              </w:rPr>
            </w:pPr>
            <w:r>
              <w:rPr>
                <w:rFonts w:hint="eastAsia" w:ascii="宋体" w:hAnsi="宋体" w:eastAsia="宋体" w:cs="宋体"/>
                <w:b/>
                <w:bCs/>
                <w:i w:val="0"/>
                <w:iCs w:val="0"/>
                <w:color w:val="000000"/>
                <w:sz w:val="21"/>
                <w:szCs w:val="21"/>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center"/>
              <w:widowControl/>
              <w:rPr>
                <w:rFonts w:hint="eastAsia" w:ascii="宋体" w:hAnsi="宋体" w:eastAsia="宋体" w:cs="宋体"/>
                <w:b/>
                <w:bCs/>
                <w:i w:val="0"/>
                <w:iCs w:val="0"/>
                <w:color w:val="000000"/>
                <w:sz w:val="21"/>
                <w:szCs w:val="21"/>
              </w:rPr>
            </w:pPr>
            <w:r>
              <w:rPr>
                <w:rFonts w:hint="eastAsia" w:ascii="宋体" w:hAnsi="宋体" w:eastAsia="宋体" w:cs="宋体"/>
                <w:b/>
                <w:bCs/>
                <w:i w:val="0"/>
                <w:iCs w:val="0"/>
                <w:color w:val="000000"/>
                <w:sz w:val="21"/>
                <w:szCs w:val="21"/>
                <w:lang w:bidi="ar"/>
              </w:rPr>
              <w:t xml:space="preserve">评审标准</w:t>
            </w:r>
            <w:r/>
          </w:p>
        </w:tc>
      </w:tr>
      <w:tr>
        <w:trPr>
          <w:trHeight w:val="39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widowControl/>
              <w:rPr>
                <w:rFonts w:hint="eastAsia" w:ascii="宋体" w:hAnsi="宋体" w:eastAsia="宋体" w:cs="宋体"/>
                <w:i w:val="0"/>
                <w:iCs w:val="0"/>
                <w:color w:val="000000"/>
                <w:sz w:val="21"/>
                <w:szCs w:val="21"/>
                <w:highlight w:val="none"/>
              </w:rPr>
            </w:pPr>
            <w:r>
              <w:rPr>
                <w:rFonts w:hint="eastAsia" w:ascii="宋体" w:hAnsi="宋体" w:eastAsia="宋体" w:cs="宋体"/>
                <w:i w:val="0"/>
                <w:iCs w:val="0"/>
                <w:color w:val="000000"/>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eastAsia="宋体" w:cs="宋体"/>
                <w:i w:val="0"/>
                <w:iCs w:val="0"/>
                <w:color w:val="000000"/>
                <w:sz w:val="21"/>
                <w:szCs w:val="21"/>
                <w:highlight w:val="none"/>
                <w:lang w:bidi="ar"/>
              </w:rPr>
            </w:pPr>
            <w:r>
              <w:rPr>
                <w:rFonts w:hint="eastAsia" w:ascii="宋体" w:hAnsi="宋体" w:eastAsia="宋体" w:cs="宋体"/>
                <w:i w:val="0"/>
                <w:iCs w:val="0"/>
                <w:color w:val="000000"/>
                <w:sz w:val="21"/>
                <w:szCs w:val="21"/>
                <w:highlight w:val="none"/>
                <w:lang w:bidi="ar"/>
              </w:rPr>
            </w:r>
            <w:r/>
          </w:p>
          <w:p>
            <w:pPr>
              <w:jc w:val="center"/>
              <w:widowControl/>
              <w:rPr>
                <w:rFonts w:hint="eastAsia" w:ascii="宋体" w:hAnsi="宋体" w:eastAsia="宋体" w:cs="宋体"/>
                <w:i w:val="0"/>
                <w:iCs w:val="0"/>
                <w:color w:val="000000"/>
                <w:sz w:val="21"/>
                <w:szCs w:val="21"/>
                <w:highlight w:val="none"/>
                <w:lang w:eastAsia="zh-CN" w:bidi="ar"/>
              </w:rPr>
            </w:pPr>
            <w:r>
              <w:rPr>
                <w:rFonts w:hint="eastAsia" w:ascii="宋体" w:hAnsi="宋体" w:eastAsia="宋体" w:cs="宋体"/>
                <w:i w:val="0"/>
                <w:iCs w:val="0"/>
                <w:color w:val="000000"/>
                <w:sz w:val="21"/>
                <w:szCs w:val="21"/>
                <w:highlight w:val="none"/>
                <w:lang w:bidi="ar"/>
              </w:rPr>
              <w:t xml:space="preserve">投标报价</w:t>
            </w:r>
            <w:r/>
          </w:p>
          <w:p>
            <w:pPr>
              <w:jc w:val="center"/>
              <w:widowControl/>
              <w:rPr>
                <w:rFonts w:hint="eastAsia" w:ascii="宋体" w:hAnsi="宋体" w:eastAsia="宋体" w:cs="宋体"/>
                <w:i w:val="0"/>
                <w:iCs w:val="0"/>
                <w:color w:val="000000"/>
                <w:sz w:val="21"/>
                <w:szCs w:val="21"/>
                <w:highlight w:val="none"/>
              </w:rPr>
            </w:pPr>
            <w:r>
              <w:rPr>
                <w:rFonts w:hint="eastAsia" w:ascii="宋体" w:hAnsi="宋体" w:eastAsia="宋体" w:cs="宋体"/>
                <w:i w:val="0"/>
                <w:i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eastAsia="宋体" w:cs="宋体"/>
                <w:i w:val="0"/>
                <w:iCs w:val="0"/>
                <w:color w:val="000000"/>
                <w:sz w:val="21"/>
                <w:szCs w:val="21"/>
                <w:highlight w:val="none"/>
              </w:rPr>
            </w:pPr>
            <w:r>
              <w:rPr>
                <w:rFonts w:hint="eastAsia" w:ascii="宋体" w:hAnsi="宋体" w:eastAsia="宋体" w:cs="宋体"/>
                <w:i w:val="0"/>
                <w:iCs w:val="0"/>
                <w:color w:val="000000"/>
                <w:sz w:val="21"/>
                <w:szCs w:val="21"/>
                <w:highlight w:val="none"/>
                <w:lang w:val="en-US" w:eastAsia="zh-CN" w:bidi="ar"/>
              </w:rPr>
              <w:t xml:space="preserve">3</w:t>
            </w:r>
            <w:r>
              <w:rPr>
                <w:rFonts w:hint="eastAsia" w:ascii="宋体" w:hAnsi="宋体" w:eastAsia="宋体" w:cs="宋体"/>
                <w:i w:val="0"/>
                <w:iCs w:val="0"/>
                <w:color w:val="000000"/>
                <w:sz w:val="21"/>
                <w:szCs w:val="21"/>
                <w:highlight w:val="none"/>
                <w:lang w:bidi="ar"/>
              </w:rPr>
              <w:t xml:space="preserve">0分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1.有效投标报价：是指通过“投标文件初审”的投标人的经商务性评审（修正、小微企业扣除等）后的评标总价；</w:t>
            </w:r>
            <w:r/>
          </w:p>
          <w:p>
            <w:pPr>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2.评标基准价=有效投标报价中的最低投标报价；</w:t>
            </w:r>
            <w:r/>
          </w:p>
          <w:p>
            <w:pPr>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3.当投标人的评标总价等于评标基准价的得</w:t>
            </w: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lang w:bidi="ar"/>
              </w:rPr>
              <w:t xml:space="preserve">0分；</w:t>
            </w:r>
            <w:r/>
          </w:p>
          <w:p>
            <w:pPr>
              <w:keepLines w:val="0"/>
              <w:keepNext w:val="0"/>
              <w:pageBreakBefore w:val="0"/>
              <w:spacing w:line="360" w:lineRule="auto"/>
              <w:widowControl w:val="off"/>
              <w:rPr>
                <w:rFonts w:hint="eastAsia" w:ascii="宋体" w:hAnsi="宋体" w:eastAsia="宋体" w:cs="宋体"/>
                <w:i w:val="0"/>
                <w:iCs w:val="0"/>
                <w:color w:val="000000"/>
                <w:sz w:val="21"/>
                <w:szCs w:val="21"/>
                <w:highlight w:val="none"/>
                <w:lang w:val="en-US" w:eastAsia="zh-CN" w:bidi="ar"/>
              </w:rPr>
            </w:pPr>
            <w:r>
              <w:rPr>
                <w:rFonts w:hint="eastAsia" w:ascii="宋体" w:hAnsi="宋体" w:eastAsia="宋体" w:cs="宋体"/>
                <w:sz w:val="21"/>
                <w:szCs w:val="21"/>
                <w:highlight w:val="none"/>
                <w:lang w:bidi="ar"/>
              </w:rPr>
              <w:t xml:space="preserve">4.其他投标人的价格分按照下列公式计算：评标总价得分=（评标基准价/评标总价）*</w:t>
            </w: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lang w:bidi="ar"/>
              </w:rPr>
              <w:t xml:space="preserve">0分（计算结果保留2位小数，第三位四舍五入）。</w:t>
            </w:r>
            <w:r/>
          </w:p>
        </w:tc>
      </w:tr>
      <w:tr>
        <w:trPr>
          <w:trHeight w:val="90"/>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widowControl/>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eastAsia="宋体" w:cs="宋体"/>
                <w:i w:val="0"/>
                <w:iCs w:val="0"/>
                <w:color w:val="000000"/>
                <w:sz w:val="21"/>
                <w:szCs w:val="21"/>
                <w:highlight w:val="none"/>
                <w:lang w:bidi="ar"/>
              </w:rPr>
            </w:pPr>
            <w:r>
              <w:rPr>
                <w:rFonts w:hint="eastAsia" w:ascii="宋体" w:hAnsi="宋体" w:eastAsia="宋体" w:cs="宋体"/>
                <w:i w:val="0"/>
                <w:iCs w:val="0"/>
                <w:color w:val="000000"/>
                <w:sz w:val="21"/>
                <w:szCs w:val="21"/>
                <w:highlight w:val="none"/>
                <w:lang w:bidi="ar"/>
              </w:rPr>
            </w:r>
            <w:r/>
          </w:p>
          <w:p>
            <w:pPr>
              <w:jc w:val="center"/>
              <w:widowControl/>
              <w:rPr>
                <w:rFonts w:hint="eastAsia" w:ascii="宋体" w:hAnsi="宋体" w:eastAsia="宋体" w:cs="宋体"/>
                <w:i w:val="0"/>
                <w:iCs w:val="0"/>
                <w:color w:val="000000"/>
                <w:sz w:val="21"/>
                <w:szCs w:val="21"/>
                <w:highlight w:val="none"/>
                <w:lang w:bidi="ar"/>
              </w:rPr>
            </w:pPr>
            <w:r>
              <w:rPr>
                <w:rFonts w:hint="eastAsia" w:ascii="宋体" w:hAnsi="宋体" w:eastAsia="宋体" w:cs="宋体"/>
                <w:i w:val="0"/>
                <w:iCs w:val="0"/>
                <w:color w:val="000000"/>
                <w:sz w:val="21"/>
                <w:szCs w:val="21"/>
                <w:highlight w:val="none"/>
                <w:lang w:bidi="ar"/>
              </w:rPr>
              <w:t xml:space="preserve">技术参数</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eastAsia="宋体" w:cs="宋体"/>
                <w:i w:val="0"/>
                <w:iCs w:val="0"/>
                <w:color w:val="000000"/>
                <w:sz w:val="21"/>
                <w:szCs w:val="21"/>
                <w:highlight w:val="none"/>
                <w:lang w:bidi="ar"/>
              </w:rPr>
            </w:pPr>
            <w:r>
              <w:rPr>
                <w:rFonts w:hint="eastAsia" w:ascii="宋体" w:hAnsi="宋体" w:eastAsia="宋体" w:cs="宋体"/>
                <w:i w:val="0"/>
                <w:iCs w:val="0"/>
                <w:color w:val="000000"/>
                <w:sz w:val="21"/>
                <w:szCs w:val="21"/>
                <w:highlight w:val="none"/>
                <w:lang w:val="en-US" w:eastAsia="zh-CN" w:bidi="ar"/>
              </w:rPr>
              <w:t xml:space="preserve">30</w:t>
            </w:r>
            <w:r>
              <w:rPr>
                <w:rFonts w:hint="eastAsia" w:ascii="宋体" w:hAnsi="宋体" w:eastAsia="宋体" w:cs="宋体"/>
                <w:i w:val="0"/>
                <w:iCs w:val="0"/>
                <w:color w:val="000000"/>
                <w:sz w:val="21"/>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ind w:firstLine="420"/>
              <w:jc w:val="left"/>
              <w:pageBreakBefore w:val="0"/>
              <w:spacing w:line="360" w:lineRule="auto"/>
              <w:rPr>
                <w:rFonts w:hint="eastAsia" w:ascii="宋体" w:hAnsi="Calibri" w:cs="宋体"/>
                <w:color w:val="auto"/>
                <w:sz w:val="21"/>
                <w:szCs w:val="21"/>
                <w:highlight w:val="none"/>
              </w:rPr>
            </w:pPr>
            <w:r>
              <w:rPr>
                <w:rFonts w:hint="eastAsia" w:ascii="宋体" w:hAnsi="Calibri" w:cs="宋体"/>
                <w:color w:val="auto"/>
                <w:sz w:val="21"/>
                <w:szCs w:val="21"/>
                <w:highlight w:val="none"/>
                <w:lang w:val="en-US" w:eastAsia="zh-CN"/>
              </w:rPr>
              <w:t xml:space="preserve">根据所投产品技术参数要求的响应程度进行评分。全部响应招标文件&lt;第四部分 采购需求&gt;中技术参数和要求的，得30分；</w:t>
            </w:r>
            <w:r>
              <w:rPr>
                <w:rFonts w:hint="eastAsia" w:ascii="宋体" w:hAnsi="Calibri" w:cs="宋体"/>
                <w:color w:val="auto"/>
                <w:sz w:val="21"/>
                <w:szCs w:val="21"/>
                <w:highlight w:val="none"/>
              </w:rPr>
              <w:t xml:space="preserve">参数不满足（或负偏离）每项扣</w:t>
            </w:r>
            <w:r>
              <w:rPr>
                <w:rFonts w:hint="eastAsia" w:ascii="宋体" w:hAnsi="Calibri" w:cs="宋体"/>
                <w:color w:val="auto"/>
                <w:sz w:val="21"/>
                <w:szCs w:val="21"/>
                <w:highlight w:val="none"/>
                <w:lang w:val="en-US" w:eastAsia="zh-CN"/>
              </w:rPr>
              <w:t xml:space="preserve">1</w:t>
            </w:r>
            <w:r>
              <w:rPr>
                <w:rFonts w:hint="eastAsia" w:ascii="宋体" w:hAnsi="Calibri" w:cs="宋体"/>
                <w:color w:val="auto"/>
                <w:sz w:val="21"/>
                <w:szCs w:val="21"/>
                <w:highlight w:val="none"/>
              </w:rPr>
              <w:t xml:space="preserve">分，扣完为止。扣满</w:t>
            </w:r>
            <w:r>
              <w:rPr>
                <w:rFonts w:hint="eastAsia" w:ascii="宋体" w:hAnsi="Calibri" w:cs="宋体"/>
                <w:color w:val="auto"/>
                <w:sz w:val="21"/>
                <w:szCs w:val="21"/>
                <w:highlight w:val="none"/>
                <w:lang w:val="en-US" w:eastAsia="zh-CN"/>
              </w:rPr>
              <w:t xml:space="preserve">3</w:t>
            </w:r>
            <w:r>
              <w:rPr>
                <w:rFonts w:hint="eastAsia" w:ascii="宋体" w:hAnsi="Calibri" w:cs="宋体"/>
                <w:color w:val="auto"/>
                <w:sz w:val="21"/>
                <w:szCs w:val="21"/>
                <w:highlight w:val="none"/>
              </w:rPr>
              <w:t xml:space="preserve">0分将不作中标候选人推荐。</w:t>
            </w:r>
            <w:r/>
          </w:p>
          <w:p>
            <w:pPr>
              <w:jc w:val="left"/>
              <w:spacing w:line="360" w:lineRule="auto"/>
              <w:widowControl/>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2"/>
                <w:szCs w:val="22"/>
                <w:lang w:bidi="ar"/>
              </w:rPr>
              <w:t xml:space="preserve">注：《技术参数响应偏离表》中的内容须是投标人投标产品的真实反映，投标人在投标时不得虚假响应和虚假承诺，否则将取消其投标资格；已中标的，将取消其中标资格。</w:t>
            </w:r>
            <w:r/>
          </w:p>
        </w:tc>
      </w:tr>
      <w:tr>
        <w:trPr>
          <w:trHeight w:val="645"/>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lang w:bidi="ar"/>
              </w:rPr>
              <w:t xml:space="preserve">企业实力</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lang w:val="en-US" w:eastAsia="zh-CN" w:bidi="ar"/>
              </w:rPr>
              <w:t xml:space="preserve">3</w:t>
            </w:r>
            <w:r>
              <w:rPr>
                <w:rFonts w:hint="eastAsia" w:ascii="宋体" w:hAnsi="宋体" w:eastAsia="宋体" w:cs="宋体"/>
                <w:i w:val="0"/>
                <w:iCs w:val="0"/>
                <w:color w:val="000000"/>
                <w:sz w:val="21"/>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ind w:firstLine="420"/>
              <w:jc w:val="left"/>
              <w:pageBreakBefore w:val="0"/>
              <w:spacing w:line="360" w:lineRule="auto"/>
              <w:rPr>
                <w:rFonts w:hint="eastAsia" w:ascii="宋体" w:hAnsi="Calibri" w:cs="宋体"/>
                <w:color w:val="auto"/>
                <w:sz w:val="21"/>
                <w:szCs w:val="21"/>
                <w:highlight w:val="none"/>
                <w:lang w:eastAsia="zh-CN"/>
              </w:rPr>
            </w:pPr>
            <w:r>
              <w:rPr>
                <w:rFonts w:hint="eastAsia" w:ascii="宋体" w:hAnsi="Calibri" w:cs="宋体"/>
                <w:color w:val="auto"/>
                <w:sz w:val="21"/>
                <w:szCs w:val="21"/>
                <w:highlight w:val="none"/>
              </w:rPr>
              <w:t xml:space="preserve">投标人具有有效期内的第三方机构颁发的，且在全国认证认可信息服务平台查询状态必须是合格状态的</w:t>
            </w:r>
            <w:r>
              <w:rPr>
                <w:rFonts w:hint="eastAsia" w:ascii="宋体" w:hAnsi="Calibri" w:cs="宋体"/>
                <w:color w:val="auto"/>
                <w:sz w:val="21"/>
                <w:szCs w:val="21"/>
                <w:highlight w:val="none"/>
                <w:lang w:val="en-US" w:eastAsia="zh-CN"/>
              </w:rPr>
              <w:t xml:space="preserve">环境管理体系认证证书（ISO14001）、职业健康安全管理体系认证证书（ISO45001）、质量管理体系认证证书（ISO9001），</w:t>
            </w:r>
            <w:r>
              <w:rPr>
                <w:rFonts w:hint="eastAsia" w:ascii="宋体" w:hAnsi="Calibri" w:cs="宋体"/>
                <w:color w:val="auto"/>
                <w:sz w:val="21"/>
                <w:szCs w:val="21"/>
                <w:highlight w:val="none"/>
                <w:lang w:eastAsia="zh-CN"/>
              </w:rPr>
              <w:t xml:space="preserve">每提供一项得</w:t>
            </w:r>
            <w:r>
              <w:rPr>
                <w:rFonts w:hint="eastAsia" w:ascii="宋体" w:hAnsi="Calibri" w:cs="宋体"/>
                <w:color w:val="auto"/>
                <w:sz w:val="21"/>
                <w:szCs w:val="21"/>
                <w:highlight w:val="none"/>
                <w:lang w:val="en-US" w:eastAsia="zh-CN"/>
              </w:rPr>
              <w:t xml:space="preserve">1</w:t>
            </w:r>
            <w:r>
              <w:rPr>
                <w:rFonts w:hint="eastAsia" w:ascii="宋体" w:hAnsi="Calibri" w:cs="宋体"/>
                <w:color w:val="auto"/>
                <w:sz w:val="21"/>
                <w:szCs w:val="21"/>
                <w:highlight w:val="none"/>
                <w:lang w:eastAsia="zh-CN"/>
              </w:rPr>
              <w:t xml:space="preserve">分，本项最高得</w:t>
            </w:r>
            <w:r>
              <w:rPr>
                <w:rFonts w:hint="eastAsia" w:ascii="宋体" w:hAnsi="Calibri" w:cs="宋体"/>
                <w:color w:val="auto"/>
                <w:sz w:val="21"/>
                <w:szCs w:val="21"/>
                <w:highlight w:val="none"/>
                <w:lang w:val="en-US" w:eastAsia="zh-CN"/>
              </w:rPr>
              <w:t xml:space="preserve">3</w:t>
            </w:r>
            <w:r>
              <w:rPr>
                <w:rFonts w:hint="eastAsia" w:ascii="宋体" w:hAnsi="Calibri" w:cs="宋体"/>
                <w:color w:val="auto"/>
                <w:sz w:val="21"/>
                <w:szCs w:val="21"/>
                <w:highlight w:val="none"/>
                <w:lang w:eastAsia="zh-CN"/>
              </w:rPr>
              <w:t xml:space="preserve">分 。</w:t>
            </w:r>
            <w:r/>
          </w:p>
          <w:p>
            <w:pPr>
              <w:ind w:firstLine="420"/>
              <w:jc w:val="left"/>
              <w:pageBreakBefore w:val="0"/>
              <w:spacing w:line="360" w:lineRule="auto"/>
              <w:rPr>
                <w:rFonts w:hint="eastAsia"/>
                <w:lang w:eastAsia="zh-CN"/>
              </w:rPr>
            </w:pPr>
            <w:r>
              <w:rPr>
                <w:rFonts w:hint="eastAsia" w:ascii="宋体" w:hAnsi="Calibri" w:cs="宋体"/>
                <w:color w:val="auto"/>
                <w:sz w:val="21"/>
                <w:szCs w:val="21"/>
                <w:highlight w:val="none"/>
                <w:lang w:eastAsia="zh-CN"/>
              </w:rPr>
              <w:t xml:space="preserve">注：</w:t>
            </w:r>
            <w:r>
              <w:rPr>
                <w:rFonts w:hint="eastAsia" w:ascii="宋体" w:hAnsi="Calibri" w:cs="宋体"/>
                <w:color w:val="auto"/>
                <w:sz w:val="21"/>
                <w:szCs w:val="21"/>
                <w:highlight w:val="none"/>
                <w:lang w:val="en-US" w:eastAsia="zh-CN"/>
              </w:rPr>
              <w:t xml:space="preserve">投标文件中须同时</w:t>
            </w:r>
            <w:r>
              <w:rPr>
                <w:rFonts w:hint="eastAsia" w:ascii="宋体" w:hAnsi="Calibri" w:cs="宋体"/>
                <w:color w:val="auto"/>
                <w:sz w:val="21"/>
                <w:szCs w:val="21"/>
                <w:highlight w:val="none"/>
                <w:lang w:eastAsia="zh-CN"/>
              </w:rPr>
              <w:t xml:space="preserve">提供证书</w:t>
            </w:r>
            <w:r>
              <w:rPr>
                <w:rFonts w:hint="eastAsia" w:ascii="宋体" w:hAnsi="Calibri" w:cs="宋体"/>
                <w:color w:val="auto"/>
                <w:sz w:val="21"/>
                <w:szCs w:val="21"/>
                <w:highlight w:val="none"/>
                <w:lang w:val="en-US" w:eastAsia="zh-CN"/>
              </w:rPr>
              <w:t xml:space="preserve">和全国认证认可信息公共服务平台http://cx.cnca.cn/CertECloud/result/skipResultList查询截图扫描件，</w:t>
            </w:r>
            <w:r>
              <w:rPr>
                <w:rFonts w:hint="eastAsia" w:ascii="宋体" w:hAnsi="Calibri" w:cs="宋体"/>
                <w:color w:val="auto"/>
                <w:sz w:val="21"/>
                <w:szCs w:val="21"/>
                <w:highlight w:val="none"/>
                <w:lang w:eastAsia="zh-CN"/>
              </w:rPr>
              <w:t xml:space="preserve">且证书必须在有效期范围内。</w:t>
            </w:r>
            <w:r>
              <w:rPr>
                <w:rFonts w:hint="eastAsia" w:ascii="宋体" w:hAnsi="宋体" w:eastAsia="宋体" w:cs="宋体"/>
                <w:i w:val="0"/>
                <w:iCs w:val="0"/>
                <w:color w:val="000000"/>
                <w:sz w:val="22"/>
                <w:szCs w:val="22"/>
                <w:lang w:val="en-US" w:eastAsia="zh-CN" w:bidi="ar"/>
              </w:rPr>
              <w:t xml:space="preserve">未提供或提供不全不得分。</w:t>
            </w:r>
            <w:r/>
          </w:p>
        </w:tc>
      </w:tr>
      <w:tr>
        <w:trPr>
          <w:trHeight w:val="495"/>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rPr>
                <w:rFonts w:hint="default" w:ascii="宋体" w:hAnsi="宋体" w:eastAsia="宋体" w:cs="宋体"/>
                <w:i w:val="0"/>
                <w:iCs w:val="0"/>
                <w:color w:val="000000"/>
                <w:sz w:val="21"/>
                <w:szCs w:val="21"/>
                <w:lang w:val="en-US" w:eastAsia="zh-CN"/>
              </w:rPr>
            </w:pPr>
            <w:r>
              <w:rPr>
                <w:rFonts w:hint="eastAsia" w:ascii="宋体" w:hAnsi="宋体" w:eastAsia="宋体" w:cs="宋体"/>
                <w:i w:val="0"/>
                <w:iCs w:val="0"/>
                <w:color w:val="000000"/>
                <w:sz w:val="21"/>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业绩</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default" w:ascii="宋体" w:hAnsi="宋体" w:eastAsia="宋体" w:cs="宋体"/>
                <w:b w:val="0"/>
                <w:bCs w:val="0"/>
                <w:i w:val="0"/>
                <w:iCs w:val="0"/>
                <w:color w:val="000000"/>
                <w:sz w:val="21"/>
                <w:szCs w:val="21"/>
                <w:lang w:val="en-US" w:eastAsia="zh-CN" w:bidi="ar"/>
              </w:rPr>
            </w:pPr>
            <w:r>
              <w:rPr>
                <w:rFonts w:hint="eastAsia" w:ascii="宋体" w:hAnsi="宋体" w:eastAsia="宋体" w:cs="宋体"/>
                <w:b w:val="0"/>
                <w:bCs w:val="0"/>
                <w:i w:val="0"/>
                <w:iCs w:val="0"/>
                <w:color w:val="000000"/>
                <w:sz w:val="21"/>
                <w:szCs w:val="21"/>
                <w:lang w:val="en-US" w:eastAsia="zh-CN" w:bidi="ar"/>
              </w:rPr>
              <w:t xml:space="preserve">6分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i w:val="0"/>
                <w:iCs w:val="0"/>
                <w:color w:val="000000"/>
                <w:sz w:val="22"/>
                <w:szCs w:val="22"/>
                <w:lang w:val="en-US" w:eastAsia="zh-CN" w:bidi="ar"/>
              </w:rPr>
              <w:t xml:space="preserve">投标人具有家具采购及安装项目业绩的，每提供一个得2分，本项最高得6分，未提供或提供无效的不得分。</w:t>
            </w:r>
            <w:r/>
          </w:p>
          <w:p>
            <w:pPr>
              <w:jc w:val="left"/>
              <w:spacing w:line="360" w:lineRule="auto"/>
              <w:widowControl/>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2"/>
                <w:szCs w:val="22"/>
                <w:lang w:val="en-US" w:eastAsia="zh-CN" w:bidi="ar"/>
              </w:rPr>
              <w:t xml:space="preserve">注：投标文件中须提供业绩合同扫描件，未提供或提供不全不得分。</w:t>
            </w:r>
            <w:r/>
          </w:p>
        </w:tc>
      </w:tr>
      <w:tr>
        <w:trPr>
          <w:trHeight w:val="495"/>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rPr>
                <w:rFonts w:hint="default" w:ascii="宋体" w:hAnsi="宋体" w:eastAsia="宋体" w:cs="宋体"/>
                <w:i w:val="0"/>
                <w:iCs w:val="0"/>
                <w:color w:val="000000"/>
                <w:sz w:val="21"/>
                <w:szCs w:val="21"/>
                <w:lang w:val="en-US" w:eastAsia="zh-CN"/>
              </w:rPr>
            </w:pPr>
            <w:r>
              <w:rPr>
                <w:rFonts w:hint="eastAsia" w:ascii="宋体" w:hAnsi="宋体" w:eastAsia="宋体" w:cs="宋体"/>
                <w:i w:val="0"/>
                <w:iCs w:val="0"/>
                <w:color w:val="000000"/>
                <w:sz w:val="21"/>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供货、安装</w:t>
            </w:r>
            <w:r>
              <w:rPr>
                <w:rFonts w:hint="eastAsia" w:ascii="宋体" w:hAnsi="宋体" w:eastAsia="宋体" w:cs="宋体"/>
                <w:i w:val="0"/>
                <w:iCs w:val="0"/>
                <w:color w:val="000000"/>
                <w:sz w:val="21"/>
                <w:szCs w:val="21"/>
                <w:lang w:eastAsia="zh-CN"/>
              </w:rPr>
              <w:t xml:space="preserve">、</w:t>
            </w:r>
            <w:r>
              <w:rPr>
                <w:rFonts w:hint="eastAsia" w:ascii="宋体" w:hAnsi="宋体" w:eastAsia="宋体" w:cs="宋体"/>
                <w:i w:val="0"/>
                <w:iCs w:val="0"/>
                <w:color w:val="000000"/>
                <w:sz w:val="21"/>
                <w:szCs w:val="21"/>
                <w:lang w:val="en-US" w:eastAsia="zh-CN"/>
              </w:rPr>
              <w:t xml:space="preserve">调试</w:t>
            </w:r>
            <w:r>
              <w:rPr>
                <w:rFonts w:hint="eastAsia" w:ascii="宋体" w:hAnsi="宋体" w:eastAsia="宋体" w:cs="宋体"/>
                <w:i w:val="0"/>
                <w:iCs w:val="0"/>
                <w:color w:val="000000"/>
                <w:sz w:val="21"/>
                <w:szCs w:val="21"/>
              </w:rPr>
              <w:t xml:space="preserve">实施方案</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default" w:ascii="宋体" w:hAnsi="宋体" w:eastAsia="宋体" w:cs="宋体"/>
                <w:b w:val="0"/>
                <w:bCs w:val="0"/>
                <w:i w:val="0"/>
                <w:iCs w:val="0"/>
                <w:color w:val="000000"/>
                <w:sz w:val="21"/>
                <w:szCs w:val="21"/>
                <w:lang w:val="en-US" w:eastAsia="zh-CN" w:bidi="ar"/>
              </w:rPr>
            </w:pPr>
            <w:r>
              <w:rPr>
                <w:rFonts w:hint="eastAsia" w:ascii="宋体" w:hAnsi="宋体" w:eastAsia="宋体" w:cs="宋体"/>
                <w:b w:val="0"/>
                <w:bCs w:val="0"/>
                <w:i w:val="0"/>
                <w:iCs w:val="0"/>
                <w:color w:val="000000"/>
                <w:sz w:val="21"/>
                <w:szCs w:val="21"/>
                <w:lang w:val="en-US" w:eastAsia="zh-CN" w:bidi="ar"/>
              </w:rPr>
              <w:t xml:space="preserve">6分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b w:val="0"/>
                <w:bCs w:val="0"/>
                <w:sz w:val="21"/>
                <w:szCs w:val="21"/>
                <w:lang w:val="en-US" w:eastAsia="zh-CN"/>
              </w:rPr>
              <w:t xml:space="preserve">评委</w:t>
            </w:r>
            <w:r>
              <w:rPr>
                <w:rFonts w:hint="eastAsia" w:ascii="宋体" w:hAnsi="宋体" w:eastAsia="宋体" w:cs="宋体"/>
                <w:i w:val="0"/>
                <w:iCs w:val="0"/>
                <w:color w:val="000000"/>
                <w:sz w:val="22"/>
                <w:szCs w:val="22"/>
                <w:lang w:val="en-US" w:eastAsia="zh-CN" w:bidi="ar"/>
              </w:rPr>
              <w:t xml:space="preserve">根据投标人提供详细完整的供货、安装、调试实施方案进行评审：</w:t>
            </w:r>
            <w:r/>
          </w:p>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i w:val="0"/>
                <w:iCs w:val="0"/>
                <w:color w:val="000000"/>
                <w:sz w:val="22"/>
                <w:szCs w:val="22"/>
                <w:lang w:val="en-US" w:eastAsia="zh-CN" w:bidi="ar"/>
              </w:rPr>
              <w:t xml:space="preserve">1.方案内容合理性、可行性、针对性强的，得6分；</w:t>
            </w:r>
            <w:r/>
          </w:p>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i w:val="0"/>
                <w:iCs w:val="0"/>
                <w:color w:val="000000"/>
                <w:sz w:val="22"/>
                <w:szCs w:val="22"/>
                <w:lang w:val="en-US" w:eastAsia="zh-CN" w:bidi="ar"/>
              </w:rPr>
              <w:t xml:space="preserve">2.方案内容合理性、可行性、针对性较强的，得5分</w:t>
            </w:r>
            <w:r/>
          </w:p>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i w:val="0"/>
                <w:iCs w:val="0"/>
                <w:color w:val="000000"/>
                <w:sz w:val="22"/>
                <w:szCs w:val="22"/>
                <w:lang w:val="en-US" w:eastAsia="zh-CN" w:bidi="ar"/>
              </w:rPr>
              <w:t xml:space="preserve">3.方案内容合理性、可行性、针对性一般的，得4分；</w:t>
            </w:r>
            <w:r/>
          </w:p>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i w:val="0"/>
                <w:iCs w:val="0"/>
                <w:color w:val="000000"/>
                <w:sz w:val="22"/>
                <w:szCs w:val="22"/>
                <w:lang w:val="en-US" w:eastAsia="zh-CN" w:bidi="ar"/>
              </w:rPr>
              <w:t xml:space="preserve">4.方案内容合理性、可行性、针对性差的，得3分；</w:t>
            </w:r>
            <w:r/>
          </w:p>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i w:val="0"/>
                <w:iCs w:val="0"/>
                <w:color w:val="000000"/>
                <w:sz w:val="22"/>
                <w:szCs w:val="22"/>
                <w:lang w:val="en-US" w:eastAsia="zh-CN" w:bidi="ar"/>
              </w:rPr>
              <w:t xml:space="preserve">5.未提供本评分项内容不得分。</w:t>
            </w:r>
            <w:r/>
          </w:p>
        </w:tc>
      </w:tr>
      <w:tr>
        <w:trPr>
          <w:trHeight w:val="495"/>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rPr>
                <w:rFonts w:hint="default" w:ascii="宋体" w:hAnsi="宋体" w:eastAsia="宋体" w:cs="宋体"/>
                <w:i w:val="0"/>
                <w:iCs w:val="0"/>
                <w:color w:val="000000"/>
                <w:sz w:val="21"/>
                <w:szCs w:val="21"/>
                <w:lang w:val="en-US" w:eastAsia="zh-CN"/>
              </w:rPr>
            </w:pPr>
            <w:r>
              <w:rPr>
                <w:rFonts w:hint="eastAsia" w:ascii="宋体" w:hAnsi="宋体" w:eastAsia="宋体" w:cs="宋体"/>
                <w:i w:val="0"/>
                <w:iCs w:val="0"/>
                <w:color w:val="000000"/>
                <w:sz w:val="21"/>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default" w:ascii="宋体" w:hAnsi="宋体" w:eastAsia="宋体" w:cs="宋体"/>
                <w:i w:val="0"/>
                <w:iCs w:val="0"/>
                <w:color w:val="000000"/>
                <w:sz w:val="21"/>
                <w:szCs w:val="21"/>
                <w:lang w:val="en-US" w:eastAsia="zh-CN"/>
              </w:rPr>
            </w:pPr>
            <w:r>
              <w:rPr>
                <w:rFonts w:hint="eastAsia" w:ascii="宋体" w:hAnsi="宋体" w:eastAsia="宋体" w:cs="宋体"/>
                <w:b w:val="0"/>
                <w:bCs w:val="0"/>
                <w:sz w:val="21"/>
                <w:szCs w:val="21"/>
                <w:lang w:val="en-US" w:eastAsia="zh-CN"/>
              </w:rPr>
              <w:t xml:space="preserve">重点难点分析及应对措施</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default" w:ascii="宋体" w:hAnsi="宋体" w:eastAsia="宋体" w:cs="宋体"/>
                <w:b w:val="0"/>
                <w:bCs w:val="0"/>
                <w:i w:val="0"/>
                <w:iCs w:val="0"/>
                <w:color w:val="000000"/>
                <w:sz w:val="21"/>
                <w:szCs w:val="21"/>
                <w:lang w:val="en-US" w:eastAsia="zh-CN" w:bidi="ar"/>
              </w:rPr>
            </w:pPr>
            <w:r>
              <w:rPr>
                <w:rFonts w:hint="eastAsia" w:ascii="宋体" w:hAnsi="宋体" w:eastAsia="宋体" w:cs="宋体"/>
                <w:b w:val="0"/>
                <w:bCs w:val="0"/>
                <w:i w:val="0"/>
                <w:iCs w:val="0"/>
                <w:color w:val="000000"/>
                <w:sz w:val="21"/>
                <w:szCs w:val="21"/>
                <w:lang w:val="en-US" w:eastAsia="zh-CN" w:bidi="ar"/>
              </w:rPr>
              <w:t xml:space="preserve">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numPr>
                <w:ilvl w:val="0"/>
                <w:numId w:val="0"/>
              </w:numPr>
              <w:jc w:val="left"/>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评委根据投标人提供的重点难点关键问题分析及应对措施</w:t>
            </w:r>
            <w:r>
              <w:rPr>
                <w:rFonts w:hint="eastAsia" w:ascii="宋体" w:hAnsi="宋体" w:eastAsia="宋体" w:cs="宋体"/>
                <w:i w:val="0"/>
                <w:iCs w:val="0"/>
                <w:color w:val="000000"/>
                <w:sz w:val="22"/>
                <w:szCs w:val="22"/>
                <w:lang w:val="en-US" w:eastAsia="zh-CN" w:bidi="ar"/>
              </w:rPr>
              <w:t xml:space="preserve">进行评审：</w:t>
            </w:r>
            <w:r/>
          </w:p>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i w:val="0"/>
                <w:iCs w:val="0"/>
                <w:color w:val="000000"/>
                <w:sz w:val="22"/>
                <w:szCs w:val="22"/>
                <w:lang w:val="en-US" w:eastAsia="zh-CN" w:bidi="ar"/>
              </w:rPr>
              <w:t xml:space="preserve">1.方案内容合理性、可行性、针对性强的，得5分；</w:t>
            </w:r>
            <w:r/>
          </w:p>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i w:val="0"/>
                <w:iCs w:val="0"/>
                <w:color w:val="000000"/>
                <w:sz w:val="22"/>
                <w:szCs w:val="22"/>
                <w:lang w:val="en-US" w:eastAsia="zh-CN" w:bidi="ar"/>
              </w:rPr>
              <w:t xml:space="preserve">2.方案内容合理性、可行性、针对性较强的，得4分</w:t>
            </w:r>
            <w:r/>
          </w:p>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i w:val="0"/>
                <w:iCs w:val="0"/>
                <w:color w:val="000000"/>
                <w:sz w:val="22"/>
                <w:szCs w:val="22"/>
                <w:lang w:val="en-US" w:eastAsia="zh-CN" w:bidi="ar"/>
              </w:rPr>
              <w:t xml:space="preserve">3.方案内容合理性、可行性、针对性一般的，得3分；</w:t>
            </w:r>
            <w:r/>
          </w:p>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i w:val="0"/>
                <w:iCs w:val="0"/>
                <w:color w:val="000000"/>
                <w:sz w:val="22"/>
                <w:szCs w:val="22"/>
                <w:lang w:val="en-US" w:eastAsia="zh-CN" w:bidi="ar"/>
              </w:rPr>
              <w:t xml:space="preserve">4.方案内容合理性、可行性、针对性差的，得2分；</w:t>
            </w:r>
            <w:r/>
          </w:p>
          <w:p>
            <w:pPr>
              <w:numPr>
                <w:ilvl w:val="0"/>
                <w:numId w:val="0"/>
              </w:numPr>
              <w:jc w:val="left"/>
              <w:spacing w:line="360" w:lineRule="auto"/>
              <w:widowControl/>
              <w:rPr>
                <w:rFonts w:hint="eastAsia"/>
                <w:lang w:val="en-US" w:eastAsia="zh-CN"/>
              </w:rPr>
            </w:pPr>
            <w:r>
              <w:rPr>
                <w:rFonts w:hint="eastAsia" w:ascii="宋体" w:hAnsi="宋体" w:eastAsia="宋体" w:cs="宋体"/>
                <w:i w:val="0"/>
                <w:iCs w:val="0"/>
                <w:color w:val="000000"/>
                <w:sz w:val="22"/>
                <w:szCs w:val="22"/>
                <w:lang w:val="en-US" w:eastAsia="zh-CN" w:bidi="ar"/>
              </w:rPr>
              <w:t xml:space="preserve">5.未提供本评分项内容不得分。</w:t>
            </w:r>
            <w:r/>
          </w:p>
        </w:tc>
      </w:tr>
      <w:tr>
        <w:trPr>
          <w:trHeight w:val="495"/>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rPr>
                <w:rFonts w:hint="default" w:ascii="宋体" w:hAnsi="宋体" w:eastAsia="宋体" w:cs="宋体"/>
                <w:i w:val="0"/>
                <w:iCs w:val="0"/>
                <w:color w:val="000000"/>
                <w:sz w:val="21"/>
                <w:szCs w:val="21"/>
                <w:lang w:val="en-US" w:eastAsia="zh-CN"/>
              </w:rPr>
            </w:pPr>
            <w:r>
              <w:rPr>
                <w:rFonts w:hint="eastAsia" w:ascii="宋体" w:hAnsi="宋体" w:eastAsia="宋体" w:cs="宋体"/>
                <w:i w:val="0"/>
                <w:iCs w:val="0"/>
                <w:color w:val="000000"/>
                <w:sz w:val="21"/>
                <w:szCs w:val="21"/>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eastAsia="宋体" w:cs="宋体"/>
                <w:i w:val="0"/>
                <w:iCs w:val="0"/>
                <w:color w:val="000000"/>
                <w:sz w:val="21"/>
                <w:szCs w:val="21"/>
                <w:highlight w:val="none"/>
              </w:rPr>
            </w:pPr>
            <w:r>
              <w:rPr>
                <w:rFonts w:hint="eastAsia" w:ascii="宋体" w:hAnsi="宋体" w:eastAsia="宋体" w:cs="宋体"/>
                <w:i w:val="0"/>
                <w:iCs w:val="0"/>
                <w:color w:val="000000"/>
                <w:sz w:val="21"/>
                <w:szCs w:val="21"/>
                <w:highlight w:val="none"/>
              </w:rPr>
              <w:t xml:space="preserve">文明施工及环境保护措施</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default" w:ascii="宋体" w:hAnsi="宋体" w:eastAsia="宋体" w:cs="宋体"/>
                <w:b w:val="0"/>
                <w:bCs w:val="0"/>
                <w:i w:val="0"/>
                <w:iCs w:val="0"/>
                <w:color w:val="000000"/>
                <w:sz w:val="21"/>
                <w:szCs w:val="21"/>
                <w:highlight w:val="none"/>
                <w:lang w:val="en-US" w:eastAsia="zh-CN" w:bidi="ar"/>
              </w:rPr>
            </w:pPr>
            <w:r>
              <w:rPr>
                <w:rFonts w:hint="eastAsia" w:ascii="宋体" w:hAnsi="宋体" w:eastAsia="宋体" w:cs="宋体"/>
                <w:b w:val="0"/>
                <w:bCs w:val="0"/>
                <w:i w:val="0"/>
                <w:iCs w:val="0"/>
                <w:color w:val="000000"/>
                <w:sz w:val="21"/>
                <w:szCs w:val="21"/>
                <w:highlight w:val="none"/>
                <w:lang w:val="en-US" w:eastAsia="zh-CN" w:bidi="ar"/>
              </w:rPr>
              <w:t xml:space="preserve">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numPr>
                <w:ilvl w:val="0"/>
                <w:numId w:val="0"/>
              </w:numPr>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评委根据投标人提供的</w:t>
            </w:r>
            <w:r>
              <w:rPr>
                <w:rFonts w:hint="eastAsia" w:ascii="宋体" w:hAnsi="宋体" w:eastAsia="宋体" w:cs="宋体"/>
                <w:i w:val="0"/>
                <w:iCs w:val="0"/>
                <w:color w:val="000000"/>
                <w:sz w:val="21"/>
                <w:szCs w:val="21"/>
                <w:highlight w:val="none"/>
              </w:rPr>
              <w:t xml:space="preserve">文明施工及环境保护措施</w:t>
            </w:r>
            <w:r>
              <w:rPr>
                <w:rFonts w:hint="eastAsia" w:ascii="宋体" w:hAnsi="宋体" w:eastAsia="宋体" w:cs="宋体"/>
                <w:i w:val="0"/>
                <w:iCs w:val="0"/>
                <w:color w:val="000000"/>
                <w:sz w:val="21"/>
                <w:szCs w:val="21"/>
                <w:highlight w:val="none"/>
                <w:lang w:val="en-US" w:eastAsia="zh-CN"/>
              </w:rPr>
              <w:t xml:space="preserve">进行</w:t>
            </w:r>
            <w:r>
              <w:rPr>
                <w:rFonts w:hint="eastAsia" w:ascii="宋体" w:hAnsi="宋体" w:eastAsia="宋体" w:cs="宋体"/>
                <w:b w:val="0"/>
                <w:bCs w:val="0"/>
                <w:sz w:val="21"/>
                <w:szCs w:val="21"/>
                <w:highlight w:val="none"/>
                <w:lang w:val="en-US" w:eastAsia="zh-CN"/>
              </w:rPr>
              <w:t xml:space="preserve">评审：</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1.方案内容合理性、可行性、针对性强的，得5分；</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2.方案内容合理性、可行性、针对性较强的，得4分</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3.方案内容合理性、可行性、针对性一般的，得3分；</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4.方案内容合理性、可行性、针对性差的，得2分；</w:t>
            </w:r>
            <w:r/>
          </w:p>
          <w:p>
            <w:pPr>
              <w:numPr>
                <w:ilvl w:val="0"/>
                <w:numId w:val="0"/>
              </w:numPr>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i w:val="0"/>
                <w:iCs w:val="0"/>
                <w:color w:val="000000"/>
                <w:sz w:val="22"/>
                <w:szCs w:val="22"/>
                <w:highlight w:val="none"/>
                <w:lang w:val="en-US" w:eastAsia="zh-CN" w:bidi="ar"/>
              </w:rPr>
              <w:t xml:space="preserve">5.未提供本评分项内容不得分。</w:t>
            </w:r>
            <w:r/>
          </w:p>
        </w:tc>
      </w:tr>
      <w:tr>
        <w:trPr>
          <w:trHeight w:val="495"/>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rPr>
                <w:rFonts w:hint="default" w:ascii="宋体" w:hAnsi="宋体" w:eastAsia="宋体" w:cs="宋体"/>
                <w:i w:val="0"/>
                <w:iCs w:val="0"/>
                <w:color w:val="000000"/>
                <w:sz w:val="21"/>
                <w:szCs w:val="21"/>
                <w:lang w:val="en-US" w:eastAsia="zh-CN"/>
              </w:rPr>
            </w:pPr>
            <w:r>
              <w:rPr>
                <w:rFonts w:hint="eastAsia" w:ascii="宋体" w:hAnsi="宋体" w:eastAsia="宋体" w:cs="宋体"/>
                <w:i w:val="0"/>
                <w:iCs w:val="0"/>
                <w:color w:val="000000"/>
                <w:sz w:val="21"/>
                <w:szCs w:val="21"/>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eastAsia="宋体" w:cs="宋体"/>
                <w:i w:val="0"/>
                <w:iCs w:val="0"/>
                <w:color w:val="000000"/>
                <w:sz w:val="21"/>
                <w:szCs w:val="21"/>
                <w:highlight w:val="none"/>
              </w:rPr>
            </w:pPr>
            <w:r>
              <w:rPr>
                <w:rFonts w:hint="eastAsia" w:ascii="宋体" w:hAnsi="宋体" w:eastAsia="宋体" w:cs="宋体"/>
                <w:i w:val="0"/>
                <w:iCs w:val="0"/>
                <w:color w:val="000000"/>
                <w:sz w:val="21"/>
                <w:szCs w:val="21"/>
                <w:highlight w:val="none"/>
              </w:rPr>
              <w:t xml:space="preserve">质量保证措施</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eastAsia="宋体" w:cs="宋体"/>
                <w:b w:val="0"/>
                <w:bCs w:val="0"/>
                <w:i w:val="0"/>
                <w:iCs w:val="0"/>
                <w:color w:val="000000"/>
                <w:sz w:val="21"/>
                <w:szCs w:val="21"/>
                <w:highlight w:val="none"/>
                <w:lang w:val="en-US" w:eastAsia="zh-CN" w:bidi="ar"/>
              </w:rPr>
            </w:pPr>
            <w:r>
              <w:rPr>
                <w:rFonts w:hint="eastAsia" w:ascii="宋体" w:hAnsi="宋体" w:eastAsia="宋体" w:cs="宋体"/>
                <w:b w:val="0"/>
                <w:bCs w:val="0"/>
                <w:i w:val="0"/>
                <w:iCs w:val="0"/>
                <w:color w:val="000000"/>
                <w:sz w:val="21"/>
                <w:szCs w:val="21"/>
                <w:highlight w:val="none"/>
                <w:lang w:val="en-US" w:eastAsia="zh-CN" w:bidi="ar"/>
              </w:rPr>
              <w:t xml:space="preserve">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numPr>
                <w:ilvl w:val="0"/>
                <w:numId w:val="0"/>
              </w:numPr>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评委根据投标人提供的质量保证措施</w:t>
            </w:r>
            <w:r>
              <w:rPr>
                <w:rFonts w:hint="eastAsia" w:ascii="宋体" w:hAnsi="宋体" w:eastAsia="宋体" w:cs="宋体"/>
                <w:i w:val="0"/>
                <w:iCs w:val="0"/>
                <w:color w:val="000000"/>
                <w:sz w:val="21"/>
                <w:szCs w:val="21"/>
                <w:highlight w:val="none"/>
                <w:lang w:val="en-US" w:eastAsia="zh-CN"/>
              </w:rPr>
              <w:t xml:space="preserve">进行</w:t>
            </w:r>
            <w:r>
              <w:rPr>
                <w:rFonts w:hint="eastAsia" w:ascii="宋体" w:hAnsi="宋体" w:eastAsia="宋体" w:cs="宋体"/>
                <w:b w:val="0"/>
                <w:bCs w:val="0"/>
                <w:sz w:val="21"/>
                <w:szCs w:val="21"/>
                <w:highlight w:val="none"/>
                <w:lang w:val="en-US" w:eastAsia="zh-CN"/>
              </w:rPr>
              <w:t xml:space="preserve">评审：</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1.方案内容合理性、可行性、针对性强的，得5分；</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2.方案内容合理性、可行性、针对性较强的，得4分</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3.方案内容合理性、可行性、针对性一般的，得3分；</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4.方案内容合理性、可行性、针对性差的，得2分；</w:t>
            </w:r>
            <w:r/>
          </w:p>
          <w:p>
            <w:pPr>
              <w:numPr>
                <w:ilvl w:val="0"/>
                <w:numId w:val="0"/>
              </w:num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5.未提供本评分项内容不得分。</w:t>
            </w:r>
            <w:r/>
          </w:p>
        </w:tc>
      </w:tr>
      <w:tr>
        <w:trPr>
          <w:trHeight w:val="495"/>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rPr>
                <w:rFonts w:hint="default" w:ascii="宋体" w:hAnsi="宋体" w:eastAsia="宋体" w:cs="宋体"/>
                <w:i w:val="0"/>
                <w:iCs w:val="0"/>
                <w:color w:val="000000"/>
                <w:sz w:val="21"/>
                <w:szCs w:val="21"/>
                <w:lang w:val="en-US" w:eastAsia="zh-CN"/>
              </w:rPr>
            </w:pPr>
            <w:r>
              <w:rPr>
                <w:rFonts w:hint="eastAsia" w:ascii="宋体" w:hAnsi="宋体" w:eastAsia="宋体" w:cs="宋体"/>
                <w:i w:val="0"/>
                <w:iCs w:val="0"/>
                <w:color w:val="000000"/>
                <w:sz w:val="21"/>
                <w:szCs w:val="21"/>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eastAsia="宋体" w:cs="宋体"/>
                <w:i w:val="0"/>
                <w:iCs w:val="0"/>
                <w:color w:val="000000"/>
                <w:sz w:val="21"/>
                <w:szCs w:val="21"/>
                <w:highlight w:val="none"/>
                <w:lang w:val="en-US" w:eastAsia="zh-CN"/>
              </w:rPr>
            </w:pPr>
            <w:r>
              <w:rPr>
                <w:rFonts w:hint="eastAsia" w:ascii="宋体" w:hAnsi="宋体" w:eastAsia="宋体" w:cs="宋体"/>
                <w:i w:val="0"/>
                <w:iCs w:val="0"/>
                <w:color w:val="000000"/>
                <w:sz w:val="21"/>
                <w:szCs w:val="21"/>
                <w:highlight w:val="none"/>
                <w:lang w:val="en-US" w:eastAsia="zh-CN"/>
              </w:rPr>
              <w:t xml:space="preserve">安全保障措施</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eastAsia="宋体" w:cs="宋体"/>
                <w:b w:val="0"/>
                <w:bCs w:val="0"/>
                <w:i w:val="0"/>
                <w:iCs w:val="0"/>
                <w:color w:val="000000"/>
                <w:sz w:val="21"/>
                <w:szCs w:val="21"/>
                <w:highlight w:val="none"/>
                <w:lang w:val="en-US" w:eastAsia="zh-CN" w:bidi="ar"/>
              </w:rPr>
            </w:pPr>
            <w:r>
              <w:rPr>
                <w:rFonts w:hint="eastAsia" w:ascii="宋体" w:hAnsi="宋体" w:eastAsia="宋体" w:cs="宋体"/>
                <w:b w:val="0"/>
                <w:bCs w:val="0"/>
                <w:i w:val="0"/>
                <w:iCs w:val="0"/>
                <w:color w:val="000000"/>
                <w:sz w:val="21"/>
                <w:szCs w:val="21"/>
                <w:highlight w:val="none"/>
                <w:lang w:val="en-US" w:eastAsia="zh-CN" w:bidi="ar"/>
              </w:rPr>
              <w:t xml:space="preserve">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numPr>
                <w:ilvl w:val="0"/>
                <w:numId w:val="0"/>
              </w:numPr>
              <w:jc w:val="left"/>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评</w:t>
            </w:r>
            <w:r>
              <w:rPr>
                <w:rFonts w:hint="eastAsia" w:ascii="宋体" w:hAnsi="宋体" w:eastAsia="宋体" w:cs="宋体"/>
                <w:b w:val="0"/>
                <w:bCs w:val="0"/>
                <w:sz w:val="21"/>
                <w:szCs w:val="21"/>
                <w:highlight w:val="none"/>
                <w:lang w:val="en-US" w:eastAsia="zh-CN"/>
              </w:rPr>
              <w:t xml:space="preserve">委根据投标人提供的</w:t>
            </w:r>
            <w:r>
              <w:rPr>
                <w:rFonts w:hint="eastAsia" w:ascii="宋体" w:hAnsi="宋体" w:eastAsia="宋体" w:cs="宋体"/>
                <w:i w:val="0"/>
                <w:iCs w:val="0"/>
                <w:color w:val="000000"/>
                <w:sz w:val="21"/>
                <w:szCs w:val="21"/>
                <w:highlight w:val="none"/>
                <w:lang w:val="en-US" w:eastAsia="zh-CN"/>
              </w:rPr>
              <w:t xml:space="preserve">安全保障措施进行</w:t>
            </w:r>
            <w:r>
              <w:rPr>
                <w:rFonts w:hint="eastAsia" w:ascii="宋体" w:hAnsi="宋体" w:eastAsia="宋体" w:cs="宋体"/>
                <w:b w:val="0"/>
                <w:bCs w:val="0"/>
                <w:sz w:val="21"/>
                <w:szCs w:val="21"/>
                <w:highlight w:val="none"/>
                <w:lang w:val="en-US" w:eastAsia="zh-CN"/>
              </w:rPr>
              <w:t xml:space="preserve">评审：</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1.方案内容合理性、可行性、针对性强的，得5分；</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2.方案内容合理性、可行性、针对性较强的，得4分</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3.方案内容合理性、可行性、针对性一般的，得3分；</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4.方案内容合理性、可行性、针对性差的，得2分；</w:t>
            </w:r>
            <w:r/>
          </w:p>
          <w:p>
            <w:pPr>
              <w:numPr>
                <w:ilvl w:val="0"/>
                <w:numId w:val="0"/>
              </w:num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5.未提供本评分项内容不得分。</w:t>
            </w:r>
            <w:r/>
          </w:p>
        </w:tc>
      </w:tr>
      <w:tr>
        <w:trPr>
          <w:trHeight w:val="495"/>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rPr>
                <w:rFonts w:hint="default" w:ascii="宋体" w:hAnsi="宋体" w:eastAsia="宋体" w:cs="宋体"/>
                <w:i w:val="0"/>
                <w:iCs w:val="0"/>
                <w:color w:val="000000"/>
                <w:sz w:val="21"/>
                <w:szCs w:val="21"/>
                <w:lang w:val="en-US" w:eastAsia="zh-CN"/>
              </w:rPr>
            </w:pPr>
            <w:r>
              <w:rPr>
                <w:rFonts w:hint="eastAsia" w:ascii="宋体" w:hAnsi="宋体" w:eastAsia="宋体" w:cs="宋体"/>
                <w:i w:val="0"/>
                <w:iCs w:val="0"/>
                <w:color w:val="000000"/>
                <w:sz w:val="21"/>
                <w:szCs w:val="21"/>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售后服务</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default" w:ascii="宋体" w:hAnsi="宋体" w:eastAsia="宋体" w:cs="宋体"/>
                <w:b w:val="0"/>
                <w:bCs w:val="0"/>
                <w:i w:val="0"/>
                <w:iCs w:val="0"/>
                <w:color w:val="000000"/>
                <w:sz w:val="21"/>
                <w:szCs w:val="21"/>
                <w:lang w:val="en-US" w:eastAsia="zh-CN" w:bidi="ar"/>
              </w:rPr>
            </w:pPr>
            <w:r>
              <w:rPr>
                <w:rFonts w:hint="eastAsia" w:ascii="宋体" w:hAnsi="宋体" w:eastAsia="宋体" w:cs="宋体"/>
                <w:b w:val="0"/>
                <w:bCs w:val="0"/>
                <w:i w:val="0"/>
                <w:iCs w:val="0"/>
                <w:color w:val="000000"/>
                <w:sz w:val="21"/>
                <w:szCs w:val="21"/>
                <w:lang w:val="en-US" w:eastAsia="zh-CN" w:bidi="ar"/>
              </w:rPr>
              <w:t xml:space="preserve">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numPr>
                <w:ilvl w:val="0"/>
                <w:numId w:val="0"/>
              </w:numPr>
              <w:jc w:val="left"/>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评委根据投标人提供的售后服务方案（售后服务方案包括售后服务人员配置、及售后服务运输车辆配备等售后服务保证）进行评审：</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1.方案内容合理性、可行性、针对性强的，得5分；</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2.方案内容合理性、可行性、针对性较强的，得4分</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3.方案内容合理性、可行性、针对性一般的，得3分；</w:t>
            </w:r>
            <w:r/>
          </w:p>
          <w:p>
            <w:pPr>
              <w:jc w:val="left"/>
              <w:spacing w:line="360" w:lineRule="auto"/>
              <w:widowControl/>
              <w:rPr>
                <w:rFonts w:hint="eastAsia" w:ascii="宋体" w:hAnsi="宋体" w:eastAsia="宋体" w:cs="宋体"/>
                <w:i w:val="0"/>
                <w:iCs w:val="0"/>
                <w:color w:val="000000"/>
                <w:sz w:val="22"/>
                <w:szCs w:val="22"/>
                <w:highlight w:val="none"/>
                <w:lang w:val="en-US" w:eastAsia="zh-CN" w:bidi="ar"/>
              </w:rPr>
            </w:pPr>
            <w:r>
              <w:rPr>
                <w:rFonts w:hint="eastAsia" w:ascii="宋体" w:hAnsi="宋体" w:eastAsia="宋体" w:cs="宋体"/>
                <w:i w:val="0"/>
                <w:iCs w:val="0"/>
                <w:color w:val="000000"/>
                <w:sz w:val="22"/>
                <w:szCs w:val="22"/>
                <w:highlight w:val="none"/>
                <w:lang w:val="en-US" w:eastAsia="zh-CN" w:bidi="ar"/>
              </w:rPr>
              <w:t xml:space="preserve">4.方案内容合理性、可行性、针对性差的，得2分；</w:t>
            </w:r>
            <w:r/>
          </w:p>
          <w:p>
            <w:pPr>
              <w:numPr>
                <w:ilvl w:val="0"/>
                <w:numId w:val="0"/>
              </w:numPr>
              <w:jc w:val="left"/>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i w:val="0"/>
                <w:iCs w:val="0"/>
                <w:color w:val="000000"/>
                <w:sz w:val="22"/>
                <w:szCs w:val="22"/>
                <w:highlight w:val="none"/>
                <w:lang w:val="en-US" w:eastAsia="zh-CN" w:bidi="ar"/>
              </w:rPr>
              <w:t xml:space="preserve">5.未提供本评分项内容不得分。</w:t>
            </w:r>
            <w:r/>
          </w:p>
        </w:tc>
      </w:tr>
    </w:tbl>
    <w:p>
      <w:pPr>
        <w:pStyle w:val="846"/>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ind w:firstLine="482"/>
        <w:spacing w:before="120" w:beforeAutospacing="0" w:after="120" w:afterAutospacing="0"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spacing w:before="120" w:beforeAutospacing="0" w:after="120" w:afterAutospacing="0" w:line="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rPr>
          <w:rFonts w:hint="eastAsia" w:ascii="宋体" w:hAnsi="宋体" w:eastAsia="宋体" w:cs="宋体"/>
          <w:b/>
          <w:color w:val="auto"/>
          <w:sz w:val="24"/>
          <w:szCs w:val="24"/>
          <w:highlight w:val="none"/>
          <w:lang w:val="en-US" w:eastAsia="zh-CN"/>
        </w:rPr>
      </w:r>
      <w:r/>
    </w:p>
    <w:p>
      <w:pPr>
        <w:pStyle w:val="846"/>
        <w:spacing w:before="120" w:beforeAutospacing="0" w:after="120" w:afterAutospacing="0" w:line="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rPr>
          <w:rFonts w:hint="eastAsia" w:ascii="宋体" w:hAnsi="宋体" w:eastAsia="宋体" w:cs="宋体"/>
          <w:b/>
          <w:bCs/>
          <w:color w:val="auto"/>
          <w:sz w:val="24"/>
          <w:szCs w:val="24"/>
          <w:highlight w:val="none"/>
          <w:lang w:val="en-US" w:eastAsia="zh-CN"/>
        </w:rPr>
      </w:r>
      <w:r/>
    </w:p>
    <w:p>
      <w:pPr>
        <w:pStyle w:val="846"/>
        <w:spacing w:before="120" w:beforeAutospacing="0" w:after="120" w:afterAutospacing="0" w:line="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rPr>
          <w:rFonts w:hint="eastAsia" w:ascii="宋体" w:hAnsi="宋体" w:eastAsia="宋体" w:cs="宋体"/>
          <w:b/>
          <w:bCs/>
          <w:color w:val="auto"/>
          <w:sz w:val="24"/>
          <w:szCs w:val="24"/>
          <w:highlight w:val="none"/>
          <w:lang w:val="en-US" w:eastAsia="zh-CN"/>
        </w:rPr>
      </w:r>
      <w:r/>
    </w:p>
    <w:p>
      <w:pPr>
        <w:pStyle w:val="846"/>
        <w:spacing w:before="120" w:beforeAutospacing="0" w:after="120" w:afterAutospacing="0" w:line="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rPr>
          <w:rFonts w:hint="eastAsia" w:ascii="宋体" w:hAnsi="宋体" w:eastAsia="宋体" w:cs="宋体"/>
          <w:b/>
          <w:bCs/>
          <w:color w:val="auto"/>
          <w:sz w:val="24"/>
          <w:szCs w:val="24"/>
          <w:highlight w:val="none"/>
          <w:lang w:val="en-US" w:eastAsia="zh-CN"/>
        </w:rPr>
      </w:r>
      <w:r/>
    </w:p>
    <w:p>
      <w:pPr>
        <w:pStyle w:val="846"/>
        <w:spacing w:before="120" w:beforeAutospacing="0" w:after="120" w:afterAutospacing="0" w:line="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846"/>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包件二</w:t>
      </w:r>
      <w:r>
        <w:rPr>
          <w:rFonts w:hint="eastAsia" w:ascii="宋体" w:hAnsi="宋体" w:eastAsia="宋体" w:cs="宋体"/>
          <w:b/>
          <w:color w:val="auto"/>
          <w:sz w:val="24"/>
          <w:szCs w:val="24"/>
          <w:highlight w:val="none"/>
        </w:rPr>
        <w:t xml:space="preserve">评标方法与评标标准</w:t>
      </w:r>
      <w:r/>
    </w:p>
    <w:tbl>
      <w:tblPr>
        <w:tblStyle w:val="837"/>
        <w:tblW w:w="9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740"/>
        <w:gridCol w:w="1560"/>
        <w:gridCol w:w="1110"/>
        <w:gridCol w:w="5708"/>
      </w:tblGrid>
      <w:tr>
        <w:trPr>
          <w:jc w:val="center"/>
          <w:trHeight w:val="823"/>
        </w:trPr>
        <w:tc>
          <w:tcPr>
            <w:tcMar>
              <w:left w:w="0" w:type="dxa"/>
              <w:top w:w="0" w:type="dxa"/>
              <w:right w:w="0" w:type="dxa"/>
              <w:bottom w:w="0" w:type="dxa"/>
            </w:tcMar>
            <w:tcW w:w="740" w:type="dxa"/>
            <w:vAlign w:val="center"/>
            <w:textDirection w:val="lrTb"/>
            <w:noWrap w:val="false"/>
          </w:tcPr>
          <w:p>
            <w:pPr>
              <w:jc w:val="center"/>
              <w:widowControl/>
              <w:rPr>
                <w:rFonts w:hint="eastAsia" w:ascii="宋体" w:hAnsi="宋体" w:eastAsia="宋体" w:cs="宋体"/>
                <w:b w:val="0"/>
                <w:bCs w:val="0"/>
                <w:sz w:val="21"/>
                <w:szCs w:val="21"/>
              </w:rPr>
            </w:pPr>
            <w:r>
              <w:rPr>
                <w:rFonts w:hint="eastAsia" w:ascii="宋体" w:hAnsi="宋体" w:eastAsia="宋体" w:cs="宋体"/>
                <w:b w:val="0"/>
                <w:bCs w:val="0"/>
                <w:i w:val="0"/>
                <w:iCs w:val="0"/>
                <w:color w:val="000000"/>
                <w:sz w:val="21"/>
                <w:szCs w:val="21"/>
                <w:lang w:bidi="ar"/>
              </w:rPr>
              <w:t xml:space="preserve">序号</w:t>
            </w:r>
            <w:r/>
          </w:p>
        </w:tc>
        <w:tc>
          <w:tcPr>
            <w:tcMar>
              <w:left w:w="0" w:type="dxa"/>
              <w:top w:w="0" w:type="dxa"/>
              <w:right w:w="0" w:type="dxa"/>
              <w:bottom w:w="0" w:type="dxa"/>
            </w:tcMar>
            <w:tcW w:w="1560" w:type="dxa"/>
            <w:vAlign w:val="center"/>
            <w:textDirection w:val="lrTb"/>
            <w:noWrap w:val="false"/>
          </w:tcPr>
          <w:p>
            <w:pPr>
              <w:jc w:val="center"/>
              <w:widowControl/>
              <w:rPr>
                <w:rFonts w:hint="eastAsia" w:ascii="宋体" w:hAnsi="宋体" w:eastAsia="宋体" w:cs="宋体"/>
                <w:b w:val="0"/>
                <w:bCs w:val="0"/>
                <w:sz w:val="21"/>
                <w:szCs w:val="21"/>
              </w:rPr>
            </w:pPr>
            <w:r>
              <w:rPr>
                <w:rFonts w:hint="eastAsia" w:ascii="宋体" w:hAnsi="宋体" w:eastAsia="宋体" w:cs="宋体"/>
                <w:b w:val="0"/>
                <w:bCs w:val="0"/>
                <w:i w:val="0"/>
                <w:iCs w:val="0"/>
                <w:color w:val="000000"/>
                <w:sz w:val="21"/>
                <w:szCs w:val="21"/>
                <w:lang w:bidi="ar"/>
              </w:rPr>
              <w:t xml:space="preserve">评审因素</w:t>
            </w:r>
            <w:r/>
          </w:p>
        </w:tc>
        <w:tc>
          <w:tcPr>
            <w:tcMar>
              <w:left w:w="0" w:type="dxa"/>
              <w:top w:w="0" w:type="dxa"/>
              <w:right w:w="0" w:type="dxa"/>
              <w:bottom w:w="0" w:type="dxa"/>
            </w:tcMar>
            <w:tcW w:w="1110" w:type="dxa"/>
            <w:vAlign w:val="center"/>
            <w:textDirection w:val="lrTb"/>
            <w:noWrap w:val="false"/>
          </w:tcPr>
          <w:p>
            <w:pPr>
              <w:jc w:val="center"/>
              <w:widowControl/>
              <w:rPr>
                <w:rFonts w:hint="eastAsia" w:ascii="宋体" w:hAnsi="宋体" w:eastAsia="宋体" w:cs="宋体"/>
                <w:b w:val="0"/>
                <w:bCs w:val="0"/>
                <w:sz w:val="21"/>
                <w:szCs w:val="21"/>
              </w:rPr>
            </w:pPr>
            <w:r>
              <w:rPr>
                <w:rFonts w:hint="eastAsia" w:ascii="宋体" w:hAnsi="宋体" w:eastAsia="宋体" w:cs="宋体"/>
                <w:b w:val="0"/>
                <w:bCs w:val="0"/>
                <w:i w:val="0"/>
                <w:iCs w:val="0"/>
                <w:color w:val="000000"/>
                <w:sz w:val="21"/>
                <w:szCs w:val="21"/>
                <w:lang w:val="en-US" w:eastAsia="zh-CN" w:bidi="ar"/>
              </w:rPr>
              <w:t xml:space="preserve">分值</w:t>
            </w:r>
            <w:r/>
          </w:p>
        </w:tc>
        <w:tc>
          <w:tcPr>
            <w:tcMar>
              <w:left w:w="0" w:type="dxa"/>
              <w:top w:w="0" w:type="dxa"/>
              <w:right w:w="0" w:type="dxa"/>
              <w:bottom w:w="0" w:type="dxa"/>
            </w:tcMar>
            <w:tcW w:w="5708" w:type="dxa"/>
            <w:vAlign w:val="center"/>
            <w:textDirection w:val="lrTb"/>
            <w:noWrap w:val="false"/>
          </w:tcPr>
          <w:p>
            <w:pPr>
              <w:jc w:val="center"/>
              <w:widowControl/>
              <w:rPr>
                <w:rFonts w:hint="eastAsia" w:ascii="宋体" w:hAnsi="宋体" w:eastAsia="宋体" w:cs="宋体"/>
                <w:b w:val="0"/>
                <w:bCs w:val="0"/>
                <w:sz w:val="21"/>
                <w:szCs w:val="21"/>
              </w:rPr>
            </w:pPr>
            <w:r>
              <w:rPr>
                <w:rFonts w:hint="eastAsia" w:ascii="宋体" w:hAnsi="宋体" w:eastAsia="宋体" w:cs="宋体"/>
                <w:b w:val="0"/>
                <w:bCs w:val="0"/>
                <w:i w:val="0"/>
                <w:iCs w:val="0"/>
                <w:color w:val="000000"/>
                <w:sz w:val="21"/>
                <w:szCs w:val="21"/>
                <w:lang w:bidi="ar"/>
              </w:rPr>
              <w:t xml:space="preserve">评审标准</w:t>
            </w:r>
            <w:r/>
          </w:p>
        </w:tc>
      </w:tr>
      <w:tr>
        <w:trPr>
          <w:jc w:val="center"/>
          <w:trHeight w:val="1540"/>
        </w:trPr>
        <w:tc>
          <w:tcPr>
            <w:tcMar>
              <w:left w:w="0" w:type="dxa"/>
              <w:top w:w="0" w:type="dxa"/>
              <w:right w:w="0" w:type="dxa"/>
              <w:bottom w:w="0" w:type="dxa"/>
            </w:tcMar>
            <w:tcW w:w="740"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p>
        </w:tc>
        <w:tc>
          <w:tcPr>
            <w:tcMar>
              <w:left w:w="0" w:type="dxa"/>
              <w:top w:w="0" w:type="dxa"/>
              <w:right w:w="0" w:type="dxa"/>
              <w:bottom w:w="0" w:type="dxa"/>
            </w:tcMar>
            <w:tcW w:w="1560"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报价</w:t>
            </w:r>
            <w:r/>
          </w:p>
        </w:tc>
        <w:tc>
          <w:tcPr>
            <w:tcMar>
              <w:left w:w="0" w:type="dxa"/>
              <w:top w:w="0" w:type="dxa"/>
              <w:right w:w="0" w:type="dxa"/>
              <w:bottom w:w="0" w:type="dxa"/>
            </w:tcMar>
            <w:tcW w:w="1110"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30</w:t>
            </w:r>
            <w:r>
              <w:rPr>
                <w:rFonts w:hint="eastAsia" w:ascii="宋体" w:hAnsi="宋体" w:eastAsia="宋体" w:cs="宋体"/>
                <w:b w:val="0"/>
                <w:bCs w:val="0"/>
                <w:sz w:val="21"/>
                <w:szCs w:val="21"/>
                <w:highlight w:val="none"/>
              </w:rPr>
              <w:t xml:space="preserve">分</w:t>
            </w:r>
            <w:r/>
          </w:p>
        </w:tc>
        <w:tc>
          <w:tcPr>
            <w:tcMar>
              <w:left w:w="0" w:type="dxa"/>
              <w:top w:w="0" w:type="dxa"/>
              <w:right w:w="0" w:type="dxa"/>
              <w:bottom w:w="0" w:type="dxa"/>
            </w:tcMar>
            <w:tcW w:w="5708" w:type="dxa"/>
            <w:vAlign w:val="center"/>
            <w:textDirection w:val="lrTb"/>
            <w:noWrap w:val="false"/>
          </w:tcPr>
          <w:p>
            <w:pPr>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1.有效投标报价：是指通过“投标文件初审”的投标人的经商务性评审（修正、小微企业扣除等）后的评标总价；</w:t>
            </w:r>
            <w:r/>
          </w:p>
          <w:p>
            <w:pPr>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2.评标基准价=有效投标报价中的最低投标报价；</w:t>
            </w:r>
            <w:r/>
          </w:p>
          <w:p>
            <w:pPr>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3.当投标人的评标总价等于评标基准价的得</w:t>
            </w:r>
            <w:r>
              <w:rPr>
                <w:rFonts w:hint="eastAsia" w:ascii="宋体" w:hAnsi="宋体" w:eastAsia="宋体" w:cs="宋体"/>
                <w:sz w:val="21"/>
                <w:szCs w:val="21"/>
                <w:highlight w:val="none"/>
                <w:lang w:val="en-US" w:eastAsia="zh-CN" w:bidi="ar"/>
              </w:rPr>
              <w:t xml:space="preserve">30</w:t>
            </w:r>
            <w:r>
              <w:rPr>
                <w:rFonts w:hint="eastAsia" w:ascii="宋体" w:hAnsi="宋体" w:eastAsia="宋体" w:cs="宋体"/>
                <w:sz w:val="21"/>
                <w:szCs w:val="21"/>
                <w:highlight w:val="none"/>
                <w:lang w:bidi="ar"/>
              </w:rPr>
              <w:t xml:space="preserve">分；</w:t>
            </w:r>
            <w:r/>
          </w:p>
          <w:p>
            <w:pPr>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sz w:val="21"/>
                <w:szCs w:val="21"/>
                <w:highlight w:val="none"/>
                <w:lang w:bidi="ar"/>
              </w:rPr>
              <w:t xml:space="preserve">4.其他投标人的价格分按照下列公式计算：评标总价得分=（评标基准价/评标总价）*</w:t>
            </w: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lang w:bidi="ar"/>
              </w:rPr>
              <w:t xml:space="preserve">0分（计算结果保留2位小数，第三位四舍五入）。</w:t>
            </w:r>
            <w:r/>
          </w:p>
        </w:tc>
      </w:tr>
      <w:tr>
        <w:trPr>
          <w:jc w:val="center"/>
        </w:trPr>
        <w:tc>
          <w:tcPr>
            <w:tcMar>
              <w:left w:w="0" w:type="dxa"/>
              <w:top w:w="0" w:type="dxa"/>
              <w:right w:w="0" w:type="dxa"/>
              <w:bottom w:w="0" w:type="dxa"/>
            </w:tcMar>
            <w:tcW w:w="740"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p>
        </w:tc>
        <w:tc>
          <w:tcPr>
            <w:tcMar>
              <w:left w:w="0" w:type="dxa"/>
              <w:top w:w="0" w:type="dxa"/>
              <w:right w:w="0" w:type="dxa"/>
              <w:bottom w:w="0" w:type="dxa"/>
            </w:tcMar>
            <w:tcW w:w="1560"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技术</w:t>
            </w:r>
            <w:r>
              <w:rPr>
                <w:rFonts w:hint="eastAsia" w:ascii="宋体" w:hAnsi="宋体" w:eastAsia="宋体" w:cs="宋体"/>
                <w:b w:val="0"/>
                <w:bCs w:val="0"/>
                <w:sz w:val="21"/>
                <w:szCs w:val="21"/>
                <w:highlight w:val="none"/>
                <w:lang w:val="en-US" w:eastAsia="zh-CN"/>
              </w:rPr>
              <w:t xml:space="preserve">参数</w:t>
            </w:r>
            <w:r>
              <w:rPr>
                <w:rFonts w:hint="eastAsia" w:ascii="宋体" w:hAnsi="宋体" w:eastAsia="宋体" w:cs="宋体"/>
                <w:b w:val="0"/>
                <w:bCs w:val="0"/>
                <w:sz w:val="21"/>
                <w:szCs w:val="21"/>
                <w:highlight w:val="none"/>
              </w:rPr>
              <w:t xml:space="preserve">评审</w:t>
            </w:r>
            <w:r/>
          </w:p>
        </w:tc>
        <w:tc>
          <w:tcPr>
            <w:tcMar>
              <w:left w:w="0" w:type="dxa"/>
              <w:top w:w="0" w:type="dxa"/>
              <w:right w:w="0" w:type="dxa"/>
              <w:bottom w:w="0" w:type="dxa"/>
            </w:tcMar>
            <w:tcW w:w="1110"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30</w:t>
            </w:r>
            <w:r>
              <w:rPr>
                <w:rFonts w:hint="eastAsia" w:ascii="宋体" w:hAnsi="宋体" w:eastAsia="宋体" w:cs="宋体"/>
                <w:b w:val="0"/>
                <w:bCs w:val="0"/>
                <w:sz w:val="21"/>
                <w:szCs w:val="21"/>
                <w:highlight w:val="none"/>
              </w:rPr>
              <w:t xml:space="preserve">分</w:t>
            </w:r>
            <w:r/>
          </w:p>
        </w:tc>
        <w:tc>
          <w:tcPr>
            <w:tcMar>
              <w:left w:w="0" w:type="dxa"/>
              <w:top w:w="0" w:type="dxa"/>
              <w:right w:w="0" w:type="dxa"/>
              <w:bottom w:w="0" w:type="dxa"/>
            </w:tcMar>
            <w:tcW w:w="5708" w:type="dxa"/>
            <w:vAlign w:val="center"/>
            <w:textDirection w:val="lrTb"/>
            <w:noWrap w:val="false"/>
          </w:tcPr>
          <w:tbl>
            <w:tblPr>
              <w:tblStyle w:val="837"/>
              <w:tblW w:w="9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5708"/>
            </w:tblGrid>
            <w:tr>
              <w:trPr>
                <w:jc w:val="center"/>
              </w:trPr>
              <w:tc>
                <w:tcPr>
                  <w:tcMar>
                    <w:left w:w="0" w:type="dxa"/>
                    <w:top w:w="0" w:type="dxa"/>
                    <w:right w:w="0" w:type="dxa"/>
                    <w:bottom w:w="0" w:type="dxa"/>
                  </w:tcMar>
                  <w:tcW w:w="570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所投产品全部满足本项目招标文件第四章采购需求中技术参数要求的，得30分，出现负偏离的作相应扣分，每负偏离一项扣1分，扣完为止。</w:t>
                  </w:r>
                  <w:r>
                    <w:rPr>
                      <w:rFonts w:hint="eastAsia" w:ascii="宋体" w:hAnsi="Calibri" w:cs="宋体"/>
                      <w:color w:val="auto"/>
                      <w:sz w:val="21"/>
                      <w:szCs w:val="21"/>
                      <w:highlight w:val="none"/>
                    </w:rPr>
                    <w:t xml:space="preserve">扣满</w:t>
                  </w:r>
                  <w:r>
                    <w:rPr>
                      <w:rFonts w:hint="eastAsia" w:ascii="宋体" w:hAnsi="Calibri" w:cs="宋体"/>
                      <w:color w:val="auto"/>
                      <w:sz w:val="21"/>
                      <w:szCs w:val="21"/>
                      <w:highlight w:val="none"/>
                      <w:lang w:val="en-US" w:eastAsia="zh-CN"/>
                    </w:rPr>
                    <w:t xml:space="preserve">3</w:t>
                  </w:r>
                  <w:r>
                    <w:rPr>
                      <w:rFonts w:hint="eastAsia" w:ascii="宋体" w:hAnsi="Calibri" w:cs="宋体"/>
                      <w:color w:val="auto"/>
                      <w:sz w:val="21"/>
                      <w:szCs w:val="21"/>
                      <w:highlight w:val="none"/>
                    </w:rPr>
                    <w:t xml:space="preserve">0分将不作中标候选人推荐。</w:t>
                  </w:r>
                  <w:r/>
                </w:p>
                <w:p>
                  <w:pPr>
                    <w:jc w:val="left"/>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i w:val="0"/>
                      <w:iCs w:val="0"/>
                      <w:color w:val="000000"/>
                      <w:sz w:val="22"/>
                      <w:szCs w:val="22"/>
                      <w:lang w:bidi="ar"/>
                    </w:rPr>
                    <w:t xml:space="preserve">注：《技术参数响应偏离表》中的内容须是投标人投标产品的真实反映，投标人在投标时不得虚假响应和虚假承诺，否则将取消其投标资格；已中标的，将取消其中标资格。</w:t>
                  </w:r>
                  <w:r/>
                </w:p>
              </w:tc>
            </w:tr>
          </w:tbl>
          <w:p>
            <w:pPr>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jc w:val="center"/>
        </w:trPr>
        <w:tc>
          <w:tcPr>
            <w:tcMar>
              <w:left w:w="0" w:type="dxa"/>
              <w:top w:w="0" w:type="dxa"/>
              <w:right w:w="0" w:type="dxa"/>
              <w:bottom w:w="0" w:type="dxa"/>
            </w:tcMar>
            <w:tcW w:w="740"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w:t>
            </w:r>
            <w:r/>
          </w:p>
        </w:tc>
        <w:tc>
          <w:tcPr>
            <w:shd w:val="clear" w:color="auto" w:fill="auto"/>
            <w:tcMar>
              <w:left w:w="0" w:type="dxa"/>
              <w:top w:w="0" w:type="dxa"/>
              <w:right w:w="0" w:type="dxa"/>
              <w:bottom w:w="0" w:type="dxa"/>
            </w:tcMar>
            <w:tcW w:w="1560"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rPr>
              <w:t xml:space="preserve">售后服务方案</w:t>
            </w:r>
            <w:r/>
          </w:p>
        </w:tc>
        <w:tc>
          <w:tcPr>
            <w:shd w:val="clear" w:color="auto" w:fill="auto"/>
            <w:tcMar>
              <w:left w:w="0" w:type="dxa"/>
              <w:top w:w="0" w:type="dxa"/>
              <w:right w:w="0" w:type="dxa"/>
              <w:bottom w:w="0" w:type="dxa"/>
            </w:tcMar>
            <w:tcW w:w="1110"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rPr>
              <w:t xml:space="preserve">分</w:t>
            </w:r>
            <w:r/>
          </w:p>
        </w:tc>
        <w:tc>
          <w:tcPr>
            <w:shd w:val="clear" w:color="auto" w:fill="auto"/>
            <w:tcMar>
              <w:left w:w="0" w:type="dxa"/>
              <w:top w:w="0" w:type="dxa"/>
              <w:right w:w="0" w:type="dxa"/>
              <w:bottom w:w="0" w:type="dxa"/>
            </w:tcMar>
            <w:tcW w:w="5708"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售后服务方案：评委根据供应商提供的售后服务方案（售后服务方案包括</w:t>
            </w:r>
            <w:r>
              <w:rPr>
                <w:rFonts w:hint="eastAsia" w:ascii="宋体" w:hAnsi="宋体" w:eastAsia="宋体" w:cs="宋体"/>
                <w:b w:val="0"/>
                <w:bCs w:val="0"/>
                <w:sz w:val="21"/>
                <w:szCs w:val="21"/>
                <w:lang w:val="en-US" w:eastAsia="zh-CN"/>
              </w:rPr>
              <w:t xml:space="preserve">售后服务人员配置、及售后服务运输车辆配备等</w:t>
            </w:r>
            <w:r>
              <w:rPr>
                <w:rFonts w:hint="eastAsia" w:ascii="宋体" w:hAnsi="宋体" w:eastAsia="宋体" w:cs="宋体"/>
                <w:b w:val="0"/>
                <w:bCs w:val="0"/>
                <w:sz w:val="21"/>
                <w:szCs w:val="21"/>
              </w:rPr>
              <w:t xml:space="preserve">售后服务保证</w:t>
            </w:r>
            <w:r>
              <w:rPr>
                <w:rFonts w:hint="eastAsia" w:ascii="宋体" w:hAnsi="宋体" w:eastAsia="宋体" w:cs="宋体"/>
                <w:b w:val="0"/>
                <w:bCs w:val="0"/>
                <w:sz w:val="21"/>
                <w:szCs w:val="21"/>
                <w:lang w:val="en-US" w:eastAsia="zh-CN"/>
              </w:rPr>
              <w:t xml:space="preserve">及</w:t>
            </w:r>
            <w:r>
              <w:rPr>
                <w:rFonts w:hint="eastAsia" w:ascii="宋体" w:hAnsi="宋体" w:eastAsia="宋体" w:cs="宋体"/>
                <w:b w:val="0"/>
                <w:bCs w:val="0"/>
                <w:sz w:val="21"/>
                <w:szCs w:val="21"/>
              </w:rPr>
              <w:t xml:space="preserve">售后服务网点、配件储备情况、技术支持等内容）的完整</w:t>
            </w:r>
            <w:r>
              <w:rPr>
                <w:rFonts w:hint="eastAsia" w:ascii="宋体" w:hAnsi="宋体" w:eastAsia="宋体" w:cs="宋体"/>
                <w:b w:val="0"/>
                <w:bCs w:val="0"/>
                <w:sz w:val="21"/>
                <w:szCs w:val="21"/>
                <w:lang w:val="en-US" w:eastAsia="zh-CN"/>
              </w:rPr>
              <w:t xml:space="preserve">性</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可</w:t>
            </w:r>
            <w:r>
              <w:rPr>
                <w:rFonts w:hint="eastAsia" w:ascii="宋体" w:hAnsi="宋体" w:eastAsia="宋体" w:cs="宋体"/>
                <w:b w:val="0"/>
                <w:bCs w:val="0"/>
                <w:sz w:val="21"/>
                <w:szCs w:val="21"/>
              </w:rPr>
              <w:t xml:space="preserve">实施性进行综合评审，酌情评定</w:t>
            </w:r>
            <w:r>
              <w:rPr>
                <w:rFonts w:hint="eastAsia" w:ascii="宋体" w:hAnsi="宋体" w:eastAsia="宋体" w:cs="宋体"/>
                <w:b w:val="0"/>
                <w:bCs w:val="0"/>
                <w:sz w:val="21"/>
                <w:szCs w:val="21"/>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1.方案内容</w:t>
            </w:r>
            <w:r>
              <w:rPr>
                <w:rFonts w:hint="eastAsia" w:ascii="宋体" w:hAnsi="宋体" w:eastAsia="宋体" w:cs="宋体"/>
                <w:b w:val="0"/>
                <w:bCs w:val="0"/>
                <w:sz w:val="21"/>
                <w:szCs w:val="21"/>
              </w:rPr>
              <w:t xml:space="preserve">完整</w:t>
            </w:r>
            <w:r>
              <w:rPr>
                <w:rFonts w:hint="eastAsia" w:ascii="宋体" w:hAnsi="宋体" w:eastAsia="宋体" w:cs="宋体"/>
                <w:b w:val="0"/>
                <w:bCs w:val="0"/>
                <w:sz w:val="21"/>
                <w:szCs w:val="21"/>
                <w:lang w:val="en-US" w:eastAsia="zh-CN"/>
              </w:rPr>
              <w:t xml:space="preserve">性</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可</w:t>
            </w:r>
            <w:r>
              <w:rPr>
                <w:rFonts w:hint="eastAsia" w:ascii="宋体" w:hAnsi="宋体" w:eastAsia="宋体" w:cs="宋体"/>
                <w:b w:val="0"/>
                <w:bCs w:val="0"/>
                <w:sz w:val="21"/>
                <w:szCs w:val="21"/>
              </w:rPr>
              <w:t xml:space="preserve">实施性</w:t>
            </w:r>
            <w:r>
              <w:rPr>
                <w:rFonts w:hint="eastAsia" w:ascii="宋体" w:hAnsi="宋体" w:eastAsia="宋体" w:cs="宋体"/>
                <w:b w:val="0"/>
                <w:bCs w:val="0"/>
                <w:sz w:val="21"/>
                <w:szCs w:val="21"/>
                <w:lang w:val="en-US" w:eastAsia="zh-CN"/>
              </w:rPr>
              <w:t xml:space="preserve">强的，得5分；</w:t>
            </w:r>
            <w:r/>
          </w:p>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2.方案内容</w:t>
            </w:r>
            <w:r>
              <w:rPr>
                <w:rFonts w:hint="eastAsia" w:ascii="宋体" w:hAnsi="宋体" w:eastAsia="宋体" w:cs="宋体"/>
                <w:b w:val="0"/>
                <w:bCs w:val="0"/>
                <w:sz w:val="21"/>
                <w:szCs w:val="21"/>
              </w:rPr>
              <w:t xml:space="preserve">完整</w:t>
            </w:r>
            <w:r>
              <w:rPr>
                <w:rFonts w:hint="eastAsia" w:ascii="宋体" w:hAnsi="宋体" w:eastAsia="宋体" w:cs="宋体"/>
                <w:b w:val="0"/>
                <w:bCs w:val="0"/>
                <w:sz w:val="21"/>
                <w:szCs w:val="21"/>
                <w:lang w:val="en-US" w:eastAsia="zh-CN"/>
              </w:rPr>
              <w:t xml:space="preserve">性</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可</w:t>
            </w:r>
            <w:r>
              <w:rPr>
                <w:rFonts w:hint="eastAsia" w:ascii="宋体" w:hAnsi="宋体" w:eastAsia="宋体" w:cs="宋体"/>
                <w:b w:val="0"/>
                <w:bCs w:val="0"/>
                <w:sz w:val="21"/>
                <w:szCs w:val="21"/>
              </w:rPr>
              <w:t xml:space="preserve">实施性</w:t>
            </w:r>
            <w:r>
              <w:rPr>
                <w:rFonts w:hint="eastAsia" w:ascii="宋体" w:hAnsi="宋体" w:eastAsia="宋体" w:cs="宋体"/>
                <w:b w:val="0"/>
                <w:bCs w:val="0"/>
                <w:sz w:val="21"/>
                <w:szCs w:val="21"/>
                <w:lang w:val="en-US" w:eastAsia="zh-CN"/>
              </w:rPr>
              <w:t xml:space="preserve">较强的，得4分；</w:t>
            </w:r>
            <w:r/>
          </w:p>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3.方案内容</w:t>
            </w:r>
            <w:r>
              <w:rPr>
                <w:rFonts w:hint="eastAsia" w:ascii="宋体" w:hAnsi="宋体" w:eastAsia="宋体" w:cs="宋体"/>
                <w:b w:val="0"/>
                <w:bCs w:val="0"/>
                <w:sz w:val="21"/>
                <w:szCs w:val="21"/>
              </w:rPr>
              <w:t xml:space="preserve">完整</w:t>
            </w:r>
            <w:r>
              <w:rPr>
                <w:rFonts w:hint="eastAsia" w:ascii="宋体" w:hAnsi="宋体" w:eastAsia="宋体" w:cs="宋体"/>
                <w:b w:val="0"/>
                <w:bCs w:val="0"/>
                <w:sz w:val="21"/>
                <w:szCs w:val="21"/>
                <w:lang w:val="en-US" w:eastAsia="zh-CN"/>
              </w:rPr>
              <w:t xml:space="preserve">性</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可</w:t>
            </w:r>
            <w:r>
              <w:rPr>
                <w:rFonts w:hint="eastAsia" w:ascii="宋体" w:hAnsi="宋体" w:eastAsia="宋体" w:cs="宋体"/>
                <w:b w:val="0"/>
                <w:bCs w:val="0"/>
                <w:sz w:val="21"/>
                <w:szCs w:val="21"/>
              </w:rPr>
              <w:t xml:space="preserve">实施性</w:t>
            </w:r>
            <w:r>
              <w:rPr>
                <w:rFonts w:hint="eastAsia" w:ascii="宋体" w:hAnsi="宋体" w:eastAsia="宋体" w:cs="宋体"/>
                <w:b w:val="0"/>
                <w:bCs w:val="0"/>
                <w:sz w:val="21"/>
                <w:szCs w:val="21"/>
                <w:lang w:val="en-US" w:eastAsia="zh-CN"/>
              </w:rPr>
              <w:t xml:space="preserve">一般的，得3分；</w:t>
            </w:r>
            <w:r/>
          </w:p>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4.方案内容</w:t>
            </w:r>
            <w:r>
              <w:rPr>
                <w:rFonts w:hint="eastAsia" w:ascii="宋体" w:hAnsi="宋体" w:eastAsia="宋体" w:cs="宋体"/>
                <w:b w:val="0"/>
                <w:bCs w:val="0"/>
                <w:sz w:val="21"/>
                <w:szCs w:val="21"/>
              </w:rPr>
              <w:t xml:space="preserve">完整</w:t>
            </w:r>
            <w:r>
              <w:rPr>
                <w:rFonts w:hint="eastAsia" w:ascii="宋体" w:hAnsi="宋体" w:eastAsia="宋体" w:cs="宋体"/>
                <w:b w:val="0"/>
                <w:bCs w:val="0"/>
                <w:sz w:val="21"/>
                <w:szCs w:val="21"/>
                <w:lang w:val="en-US" w:eastAsia="zh-CN"/>
              </w:rPr>
              <w:t xml:space="preserve">性</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可</w:t>
            </w:r>
            <w:r>
              <w:rPr>
                <w:rFonts w:hint="eastAsia" w:ascii="宋体" w:hAnsi="宋体" w:eastAsia="宋体" w:cs="宋体"/>
                <w:b w:val="0"/>
                <w:bCs w:val="0"/>
                <w:sz w:val="21"/>
                <w:szCs w:val="21"/>
              </w:rPr>
              <w:t xml:space="preserve">实施性</w:t>
            </w:r>
            <w:r>
              <w:rPr>
                <w:rFonts w:hint="eastAsia" w:ascii="宋体" w:hAnsi="宋体" w:eastAsia="宋体" w:cs="宋体"/>
                <w:b w:val="0"/>
                <w:bCs w:val="0"/>
                <w:sz w:val="21"/>
                <w:szCs w:val="21"/>
                <w:lang w:val="en-US" w:eastAsia="zh-CN"/>
              </w:rPr>
              <w:t xml:space="preserve">差的，得2分；</w:t>
            </w:r>
            <w:r/>
          </w:p>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5.未提供本评分项内容不得分。</w:t>
            </w:r>
            <w:r/>
          </w:p>
        </w:tc>
      </w:tr>
      <w:tr>
        <w:trPr>
          <w:jc w:val="center"/>
        </w:trPr>
        <w:tc>
          <w:tcPr>
            <w:tcMar>
              <w:left w:w="0" w:type="dxa"/>
              <w:top w:w="0" w:type="dxa"/>
              <w:right w:w="0" w:type="dxa"/>
              <w:bottom w:w="0" w:type="dxa"/>
            </w:tcMar>
            <w:tcW w:w="740" w:type="dxa"/>
            <w:vAlign w:val="center"/>
            <w:textDirection w:val="lrTb"/>
            <w:noWrap w:val="false"/>
          </w:tcPr>
          <w:p>
            <w:pPr>
              <w:jc w:val="center"/>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w:t>
            </w:r>
            <w:r/>
          </w:p>
        </w:tc>
        <w:tc>
          <w:tcPr>
            <w:shd w:val="clear" w:color="auto" w:fill="auto"/>
            <w:tcMar>
              <w:left w:w="0" w:type="dxa"/>
              <w:top w:w="0" w:type="dxa"/>
              <w:right w:w="0" w:type="dxa"/>
              <w:bottom w:w="0" w:type="dxa"/>
            </w:tcMar>
            <w:tcW w:w="1560" w:type="dxa"/>
            <w:vAlign w:val="center"/>
            <w:textDirection w:val="lrTb"/>
            <w:noWrap w:val="false"/>
          </w:tcPr>
          <w:p>
            <w:pPr>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重点难点分析及应对措施</w:t>
            </w:r>
            <w:r/>
          </w:p>
        </w:tc>
        <w:tc>
          <w:tcPr>
            <w:shd w:val="clear" w:color="auto" w:fill="auto"/>
            <w:tcMar>
              <w:left w:w="0" w:type="dxa"/>
              <w:top w:w="0" w:type="dxa"/>
              <w:right w:w="0" w:type="dxa"/>
              <w:bottom w:w="0" w:type="dxa"/>
            </w:tcMar>
            <w:tcW w:w="1110" w:type="dxa"/>
            <w:vAlign w:val="center"/>
            <w:textDirection w:val="lrTb"/>
            <w:noWrap w:val="false"/>
          </w:tcPr>
          <w:p>
            <w:pPr>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i w:val="0"/>
                <w:iCs w:val="0"/>
                <w:color w:val="000000"/>
                <w:sz w:val="21"/>
                <w:szCs w:val="21"/>
                <w:lang w:val="en-US" w:eastAsia="zh-CN" w:bidi="ar"/>
              </w:rPr>
              <w:t xml:space="preserve">5分</w:t>
            </w:r>
            <w:r/>
          </w:p>
        </w:tc>
        <w:tc>
          <w:tcPr>
            <w:shd w:val="clear" w:color="auto" w:fill="auto"/>
            <w:tcMar>
              <w:left w:w="0" w:type="dxa"/>
              <w:top w:w="0" w:type="dxa"/>
              <w:right w:w="0" w:type="dxa"/>
              <w:bottom w:w="0" w:type="dxa"/>
            </w:tcMar>
            <w:tcW w:w="5708" w:type="dxa"/>
            <w:vAlign w:val="center"/>
            <w:textDirection w:val="lrTb"/>
            <w:noWrap w:val="false"/>
          </w:tcPr>
          <w:p>
            <w:pPr>
              <w:numPr>
                <w:ilvl w:val="0"/>
                <w:numId w:val="0"/>
              </w:numPr>
              <w:jc w:val="left"/>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评委根据投标人提供的重点难点关键问题分析及应对措施</w:t>
            </w:r>
            <w:r>
              <w:rPr>
                <w:rFonts w:hint="eastAsia" w:ascii="宋体" w:hAnsi="宋体" w:eastAsia="宋体" w:cs="宋体"/>
                <w:i w:val="0"/>
                <w:iCs w:val="0"/>
                <w:color w:val="000000"/>
                <w:sz w:val="22"/>
                <w:szCs w:val="22"/>
                <w:lang w:val="en-US" w:eastAsia="zh-CN" w:bidi="ar"/>
              </w:rPr>
              <w:t xml:space="preserve">进行评审：</w:t>
            </w:r>
            <w:r/>
          </w:p>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i w:val="0"/>
                <w:iCs w:val="0"/>
                <w:color w:val="000000"/>
                <w:sz w:val="22"/>
                <w:szCs w:val="22"/>
                <w:lang w:val="en-US" w:eastAsia="zh-CN" w:bidi="ar"/>
              </w:rPr>
              <w:t xml:space="preserve">1.方案内容合理性、可行性、针对性强的，得5分；</w:t>
            </w:r>
            <w:r/>
          </w:p>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i w:val="0"/>
                <w:iCs w:val="0"/>
                <w:color w:val="000000"/>
                <w:sz w:val="22"/>
                <w:szCs w:val="22"/>
                <w:lang w:val="en-US" w:eastAsia="zh-CN" w:bidi="ar"/>
              </w:rPr>
              <w:t xml:space="preserve">2.方案内容合理性、可行性、针对性较强的，得4分</w:t>
            </w:r>
            <w:r/>
          </w:p>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i w:val="0"/>
                <w:iCs w:val="0"/>
                <w:color w:val="000000"/>
                <w:sz w:val="22"/>
                <w:szCs w:val="22"/>
                <w:lang w:val="en-US" w:eastAsia="zh-CN" w:bidi="ar"/>
              </w:rPr>
              <w:t xml:space="preserve">3.方案内容合理性、可行性、针对性一般的，得3分；</w:t>
            </w:r>
            <w:r/>
          </w:p>
          <w:p>
            <w:pPr>
              <w:jc w:val="left"/>
              <w:spacing w:line="360" w:lineRule="auto"/>
              <w:widowControl/>
              <w:rPr>
                <w:rFonts w:hint="eastAsia" w:ascii="宋体" w:hAnsi="宋体" w:eastAsia="宋体" w:cs="宋体"/>
                <w:i w:val="0"/>
                <w:iCs w:val="0"/>
                <w:color w:val="000000"/>
                <w:sz w:val="22"/>
                <w:szCs w:val="22"/>
                <w:lang w:val="en-US" w:eastAsia="zh-CN" w:bidi="ar"/>
              </w:rPr>
            </w:pPr>
            <w:r>
              <w:rPr>
                <w:rFonts w:hint="eastAsia" w:ascii="宋体" w:hAnsi="宋体" w:eastAsia="宋体" w:cs="宋体"/>
                <w:i w:val="0"/>
                <w:iCs w:val="0"/>
                <w:color w:val="000000"/>
                <w:sz w:val="22"/>
                <w:szCs w:val="22"/>
                <w:lang w:val="en-US" w:eastAsia="zh-CN" w:bidi="ar"/>
              </w:rPr>
              <w:t xml:space="preserve">4.方案内容合理性、可行性、针对性差的，得2分；</w:t>
            </w:r>
            <w:r/>
          </w:p>
          <w:p>
            <w:pPr>
              <w:numPr>
                <w:ilvl w:val="0"/>
                <w:numId w:val="0"/>
              </w:numPr>
              <w:ind w:left="0" w:firstLine="0"/>
              <w:jc w:val="left"/>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i w:val="0"/>
                <w:iCs w:val="0"/>
                <w:color w:val="000000"/>
                <w:sz w:val="22"/>
                <w:szCs w:val="22"/>
                <w:lang w:val="en-US" w:eastAsia="zh-CN" w:bidi="ar"/>
              </w:rPr>
              <w:t xml:space="preserve">5.未提供本评分项内容不得分。</w:t>
            </w:r>
            <w:r/>
          </w:p>
        </w:tc>
      </w:tr>
      <w:tr>
        <w:trPr>
          <w:jc w:val="center"/>
          <w:trHeight w:val="1041"/>
        </w:trPr>
        <w:tc>
          <w:tcPr>
            <w:tcMar>
              <w:left w:w="0" w:type="dxa"/>
              <w:top w:w="0" w:type="dxa"/>
              <w:right w:w="0" w:type="dxa"/>
              <w:bottom w:w="0" w:type="dxa"/>
            </w:tcMar>
            <w:tcW w:w="740"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w:t>
            </w:r>
            <w:r/>
          </w:p>
        </w:tc>
        <w:tc>
          <w:tcPr>
            <w:tcMar>
              <w:left w:w="0" w:type="dxa"/>
              <w:top w:w="0" w:type="dxa"/>
              <w:right w:w="0" w:type="dxa"/>
              <w:bottom w:w="0" w:type="dxa"/>
            </w:tcMar>
            <w:tcW w:w="1560"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 供货及安装、  调试方案</w:t>
            </w:r>
            <w:r/>
          </w:p>
          <w:p>
            <w:pPr>
              <w:jc w:val="center"/>
              <w:keepLines w:val="0"/>
              <w:keepNext w:val="0"/>
              <w:pageBreakBefore w:val="0"/>
              <w:spacing w:line="38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Mar>
              <w:left w:w="0" w:type="dxa"/>
              <w:top w:w="0" w:type="dxa"/>
              <w:right w:w="0" w:type="dxa"/>
              <w:bottom w:w="0" w:type="dxa"/>
            </w:tcMar>
            <w:tcW w:w="1110"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21</w:t>
            </w:r>
            <w:r>
              <w:rPr>
                <w:rFonts w:hint="eastAsia" w:ascii="宋体" w:hAnsi="宋体" w:eastAsia="宋体" w:cs="宋体"/>
                <w:b w:val="0"/>
                <w:bCs w:val="0"/>
                <w:sz w:val="21"/>
                <w:szCs w:val="21"/>
              </w:rPr>
              <w:t xml:space="preserve">分</w:t>
            </w:r>
            <w:r/>
          </w:p>
        </w:tc>
        <w:tc>
          <w:tcPr>
            <w:tcMar>
              <w:left w:w="0" w:type="dxa"/>
              <w:top w:w="0" w:type="dxa"/>
              <w:right w:w="0" w:type="dxa"/>
              <w:bottom w:w="0" w:type="dxa"/>
            </w:tcMar>
            <w:tcW w:w="5708"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供货</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安装及调试进度计划：</w:t>
            </w:r>
            <w:r>
              <w:rPr>
                <w:rFonts w:hint="eastAsia" w:ascii="宋体" w:hAnsi="宋体" w:eastAsia="宋体" w:cs="宋体"/>
                <w:b w:val="0"/>
                <w:bCs w:val="0"/>
                <w:sz w:val="21"/>
                <w:szCs w:val="21"/>
              </w:rPr>
              <w:t xml:space="preserve">评委根据投标人对投标文件中提供的本项目</w:t>
            </w:r>
            <w:r>
              <w:rPr>
                <w:rFonts w:hint="eastAsia" w:ascii="宋体" w:hAnsi="宋体" w:eastAsia="宋体" w:cs="宋体"/>
                <w:b w:val="0"/>
                <w:bCs w:val="0"/>
                <w:sz w:val="21"/>
                <w:szCs w:val="21"/>
                <w:lang w:val="en-US" w:eastAsia="zh-CN"/>
              </w:rPr>
              <w:t xml:space="preserve">供货、</w:t>
            </w:r>
            <w:r>
              <w:rPr>
                <w:rFonts w:hint="eastAsia" w:ascii="宋体" w:hAnsi="宋体" w:eastAsia="宋体" w:cs="宋体"/>
                <w:b w:val="0"/>
                <w:bCs w:val="0"/>
                <w:sz w:val="21"/>
                <w:szCs w:val="21"/>
              </w:rPr>
              <w:t xml:space="preserve">安装</w:t>
            </w:r>
            <w:r>
              <w:rPr>
                <w:rFonts w:hint="eastAsia" w:ascii="宋体" w:hAnsi="宋体" w:eastAsia="宋体" w:cs="宋体"/>
                <w:b w:val="0"/>
                <w:bCs w:val="0"/>
                <w:sz w:val="21"/>
                <w:szCs w:val="21"/>
                <w:lang w:val="en-US" w:eastAsia="zh-CN"/>
              </w:rPr>
              <w:t xml:space="preserve">及</w:t>
            </w:r>
            <w:r>
              <w:rPr>
                <w:rFonts w:hint="eastAsia" w:ascii="宋体" w:hAnsi="宋体" w:eastAsia="宋体" w:cs="宋体"/>
                <w:b w:val="0"/>
                <w:bCs w:val="0"/>
                <w:sz w:val="21"/>
                <w:szCs w:val="21"/>
              </w:rPr>
              <w:t xml:space="preserve">调试</w:t>
            </w:r>
            <w:r>
              <w:rPr>
                <w:rFonts w:hint="eastAsia" w:ascii="宋体" w:hAnsi="宋体" w:eastAsia="宋体" w:cs="宋体"/>
                <w:b w:val="0"/>
                <w:bCs w:val="0"/>
                <w:sz w:val="21"/>
                <w:szCs w:val="21"/>
                <w:lang w:val="en-US" w:eastAsia="zh-CN"/>
              </w:rPr>
              <w:t xml:space="preserve">方案</w:t>
            </w:r>
            <w:r>
              <w:rPr>
                <w:rFonts w:hint="eastAsia" w:ascii="宋体" w:hAnsi="宋体" w:eastAsia="宋体" w:cs="宋体"/>
                <w:b w:val="0"/>
                <w:bCs w:val="0"/>
                <w:sz w:val="21"/>
                <w:szCs w:val="21"/>
              </w:rPr>
              <w:t xml:space="preserve">中</w:t>
            </w:r>
            <w:r>
              <w:rPr>
                <w:rFonts w:hint="eastAsia" w:ascii="宋体" w:hAnsi="宋体" w:eastAsia="宋体" w:cs="宋体"/>
                <w:b w:val="0"/>
                <w:bCs w:val="0"/>
                <w:sz w:val="21"/>
                <w:szCs w:val="21"/>
                <w:lang w:val="en-US" w:eastAsia="zh-CN"/>
              </w:rPr>
              <w:t xml:space="preserve">拟定的供货计划、安装及调试</w:t>
            </w:r>
            <w:r>
              <w:rPr>
                <w:rFonts w:hint="eastAsia" w:ascii="宋体" w:hAnsi="宋体" w:eastAsia="宋体" w:cs="宋体"/>
                <w:b w:val="0"/>
                <w:bCs w:val="0"/>
                <w:sz w:val="21"/>
                <w:szCs w:val="21"/>
              </w:rPr>
              <w:t xml:space="preserve">进度</w:t>
            </w:r>
            <w:r>
              <w:rPr>
                <w:rFonts w:hint="eastAsia" w:ascii="宋体" w:hAnsi="宋体" w:eastAsia="宋体" w:cs="宋体"/>
                <w:b w:val="0"/>
                <w:bCs w:val="0"/>
                <w:sz w:val="21"/>
                <w:szCs w:val="21"/>
                <w:lang w:val="en-US" w:eastAsia="zh-CN"/>
              </w:rPr>
              <w:t xml:space="preserve">计划（包括供货周期、安装人员配置及运输车辆配备等内容）的</w:t>
            </w:r>
            <w:r>
              <w:rPr>
                <w:rFonts w:hint="eastAsia" w:ascii="宋体" w:hAnsi="宋体" w:eastAsia="宋体" w:cs="宋体"/>
                <w:b w:val="0"/>
                <w:bCs w:val="0"/>
                <w:sz w:val="21"/>
                <w:szCs w:val="21"/>
              </w:rPr>
              <w:t xml:space="preserve">合理性、可行性、针对性，酌情评定</w:t>
            </w:r>
            <w:r>
              <w:rPr>
                <w:rFonts w:hint="eastAsia" w:ascii="宋体" w:hAnsi="宋体" w:eastAsia="宋体" w:cs="宋体"/>
                <w:b w:val="0"/>
                <w:bCs w:val="0"/>
                <w:sz w:val="21"/>
                <w:szCs w:val="21"/>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1.方案内容</w:t>
            </w:r>
            <w:r>
              <w:rPr>
                <w:rFonts w:hint="eastAsia" w:ascii="宋体" w:hAnsi="宋体" w:eastAsia="宋体" w:cs="宋体"/>
                <w:b w:val="0"/>
                <w:bCs w:val="0"/>
                <w:sz w:val="21"/>
                <w:szCs w:val="21"/>
              </w:rPr>
              <w:t xml:space="preserve">合理性、可行性、针对性强</w:t>
            </w:r>
            <w:r>
              <w:rPr>
                <w:rFonts w:hint="eastAsia" w:ascii="宋体" w:hAnsi="宋体" w:eastAsia="宋体" w:cs="宋体"/>
                <w:b w:val="0"/>
                <w:bCs w:val="0"/>
                <w:sz w:val="21"/>
                <w:szCs w:val="21"/>
                <w:lang w:val="en-US" w:eastAsia="zh-CN"/>
              </w:rPr>
              <w:t xml:space="preserve">的，得6</w:t>
            </w:r>
            <w:r>
              <w:rPr>
                <w:rFonts w:hint="eastAsia" w:ascii="宋体" w:hAnsi="宋体" w:eastAsia="宋体" w:cs="宋体"/>
                <w:b w:val="0"/>
                <w:bCs w:val="0"/>
                <w:sz w:val="21"/>
                <w:szCs w:val="21"/>
              </w:rPr>
              <w:t xml:space="preserve">分；</w:t>
            </w:r>
            <w:r/>
          </w:p>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2.方案内容</w:t>
            </w:r>
            <w:r>
              <w:rPr>
                <w:rFonts w:hint="eastAsia" w:ascii="宋体" w:hAnsi="宋体" w:eastAsia="宋体" w:cs="宋体"/>
                <w:b w:val="0"/>
                <w:bCs w:val="0"/>
                <w:sz w:val="21"/>
                <w:szCs w:val="21"/>
              </w:rPr>
              <w:t xml:space="preserve">合理性、可行性、针对性</w:t>
            </w:r>
            <w:r>
              <w:rPr>
                <w:rFonts w:hint="eastAsia" w:ascii="宋体" w:hAnsi="宋体" w:eastAsia="宋体" w:cs="宋体"/>
                <w:b w:val="0"/>
                <w:bCs w:val="0"/>
                <w:sz w:val="21"/>
                <w:szCs w:val="21"/>
                <w:lang w:val="en-US" w:eastAsia="zh-CN"/>
              </w:rPr>
              <w:t xml:space="preserve">较强的，得5</w:t>
            </w:r>
            <w:r>
              <w:rPr>
                <w:rFonts w:hint="eastAsia" w:ascii="宋体" w:hAnsi="宋体" w:eastAsia="宋体" w:cs="宋体"/>
                <w:b w:val="0"/>
                <w:bCs w:val="0"/>
                <w:sz w:val="21"/>
                <w:szCs w:val="21"/>
              </w:rPr>
              <w:t xml:space="preserve">分</w:t>
            </w:r>
            <w:r>
              <w:rPr>
                <w:rFonts w:hint="eastAsia" w:ascii="宋体" w:hAnsi="宋体" w:eastAsia="宋体" w:cs="宋体"/>
                <w:b w:val="0"/>
                <w:bCs w:val="0"/>
                <w:sz w:val="21"/>
                <w:szCs w:val="21"/>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3.方案内容</w:t>
            </w:r>
            <w:r>
              <w:rPr>
                <w:rFonts w:hint="eastAsia" w:ascii="宋体" w:hAnsi="宋体" w:eastAsia="宋体" w:cs="宋体"/>
                <w:b w:val="0"/>
                <w:bCs w:val="0"/>
                <w:sz w:val="21"/>
                <w:szCs w:val="21"/>
              </w:rPr>
              <w:t xml:space="preserve">合理性、可行性、针对性一般</w:t>
            </w:r>
            <w:r>
              <w:rPr>
                <w:rFonts w:hint="eastAsia" w:ascii="宋体" w:hAnsi="宋体" w:eastAsia="宋体" w:cs="宋体"/>
                <w:b w:val="0"/>
                <w:bCs w:val="0"/>
                <w:sz w:val="21"/>
                <w:szCs w:val="21"/>
                <w:lang w:val="en-US" w:eastAsia="zh-CN"/>
              </w:rPr>
              <w:t xml:space="preserve">的，得4</w:t>
            </w:r>
            <w:r>
              <w:rPr>
                <w:rFonts w:hint="eastAsia" w:ascii="宋体" w:hAnsi="宋体" w:eastAsia="宋体" w:cs="宋体"/>
                <w:b w:val="0"/>
                <w:bCs w:val="0"/>
                <w:sz w:val="21"/>
                <w:szCs w:val="21"/>
              </w:rPr>
              <w:t xml:space="preserve">分；</w:t>
            </w:r>
            <w:r/>
          </w:p>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4.方案内容</w:t>
            </w:r>
            <w:r>
              <w:rPr>
                <w:rFonts w:hint="eastAsia" w:ascii="宋体" w:hAnsi="宋体" w:eastAsia="宋体" w:cs="宋体"/>
                <w:b w:val="0"/>
                <w:bCs w:val="0"/>
                <w:sz w:val="21"/>
                <w:szCs w:val="21"/>
              </w:rPr>
              <w:t xml:space="preserve">合理性、可行性、针对性</w:t>
            </w:r>
            <w:r>
              <w:rPr>
                <w:rFonts w:hint="eastAsia" w:ascii="宋体" w:hAnsi="宋体" w:eastAsia="宋体" w:cs="宋体"/>
                <w:b w:val="0"/>
                <w:bCs w:val="0"/>
                <w:sz w:val="21"/>
                <w:szCs w:val="21"/>
                <w:lang w:val="en-US" w:eastAsia="zh-CN"/>
              </w:rPr>
              <w:t xml:space="preserve">差的，得3分；</w:t>
            </w:r>
            <w:r/>
          </w:p>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5.不提供或者经评标委员会认定非常差的不得分。</w:t>
            </w:r>
            <w:r/>
          </w:p>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 xml:space="preserve">安装、调试</w:t>
            </w:r>
            <w:r>
              <w:rPr>
                <w:rFonts w:hint="eastAsia" w:ascii="宋体" w:hAnsi="宋体" w:eastAsia="宋体" w:cs="宋体"/>
                <w:b w:val="0"/>
                <w:bCs w:val="0"/>
                <w:sz w:val="21"/>
                <w:szCs w:val="21"/>
              </w:rPr>
              <w:t xml:space="preserve">质量保证措施</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评委根据投标人提供的产品</w:t>
            </w:r>
            <w:r>
              <w:rPr>
                <w:rFonts w:hint="eastAsia" w:ascii="宋体" w:hAnsi="宋体" w:eastAsia="宋体" w:cs="宋体"/>
                <w:b w:val="0"/>
                <w:bCs w:val="0"/>
                <w:sz w:val="21"/>
                <w:szCs w:val="21"/>
                <w:lang w:val="en-US" w:eastAsia="zh-CN"/>
              </w:rPr>
              <w:t xml:space="preserve">安装、调试</w:t>
            </w:r>
            <w:r>
              <w:rPr>
                <w:rFonts w:hint="eastAsia" w:ascii="宋体" w:hAnsi="宋体" w:eastAsia="宋体" w:cs="宋体"/>
                <w:b w:val="0"/>
                <w:bCs w:val="0"/>
                <w:sz w:val="21"/>
                <w:szCs w:val="21"/>
              </w:rPr>
              <w:t xml:space="preserve">质量保证措施的科学性、合理性、可行性进行综合评审，酌情评定</w:t>
            </w:r>
            <w:r>
              <w:rPr>
                <w:rFonts w:hint="eastAsia" w:ascii="宋体" w:hAnsi="宋体" w:eastAsia="宋体" w:cs="宋体"/>
                <w:b w:val="0"/>
                <w:bCs w:val="0"/>
                <w:sz w:val="21"/>
                <w:szCs w:val="21"/>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1.方案内容</w:t>
            </w:r>
            <w:r>
              <w:rPr>
                <w:rFonts w:hint="eastAsia" w:ascii="宋体" w:hAnsi="宋体" w:eastAsia="宋体" w:cs="宋体"/>
                <w:b w:val="0"/>
                <w:bCs w:val="0"/>
                <w:sz w:val="21"/>
                <w:szCs w:val="21"/>
              </w:rPr>
              <w:t xml:space="preserve">科学性、合理性、可行性</w:t>
            </w:r>
            <w:r>
              <w:rPr>
                <w:rFonts w:hint="eastAsia" w:ascii="宋体" w:hAnsi="宋体" w:eastAsia="宋体" w:cs="宋体"/>
                <w:b w:val="0"/>
                <w:bCs w:val="0"/>
                <w:sz w:val="21"/>
                <w:szCs w:val="21"/>
                <w:lang w:val="en-US" w:eastAsia="zh-CN"/>
              </w:rPr>
              <w:t xml:space="preserve">强的，得5分；</w:t>
            </w:r>
            <w:r/>
          </w:p>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 xml:space="preserve">2.方案内容</w:t>
            </w:r>
            <w:r>
              <w:rPr>
                <w:rFonts w:hint="eastAsia" w:ascii="宋体" w:hAnsi="宋体" w:eastAsia="宋体" w:cs="宋体"/>
                <w:b w:val="0"/>
                <w:bCs w:val="0"/>
                <w:sz w:val="21"/>
                <w:szCs w:val="21"/>
              </w:rPr>
              <w:t xml:space="preserve">科学性、合理性、可行性</w:t>
            </w:r>
            <w:r>
              <w:rPr>
                <w:rFonts w:hint="eastAsia" w:ascii="宋体" w:hAnsi="宋体" w:eastAsia="宋体" w:cs="宋体"/>
                <w:b w:val="0"/>
                <w:bCs w:val="0"/>
                <w:sz w:val="21"/>
                <w:szCs w:val="21"/>
                <w:lang w:val="en-US" w:eastAsia="zh-CN"/>
              </w:rPr>
              <w:t xml:space="preserve">较强的，得4分；</w:t>
            </w:r>
            <w:r/>
          </w:p>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 xml:space="preserve">3.方案内容</w:t>
            </w:r>
            <w:r>
              <w:rPr>
                <w:rFonts w:hint="eastAsia" w:ascii="宋体" w:hAnsi="宋体" w:eastAsia="宋体" w:cs="宋体"/>
                <w:b w:val="0"/>
                <w:bCs w:val="0"/>
                <w:sz w:val="21"/>
                <w:szCs w:val="21"/>
              </w:rPr>
              <w:t xml:space="preserve">科学性、合理性、可行性</w:t>
            </w:r>
            <w:r>
              <w:rPr>
                <w:rFonts w:hint="eastAsia" w:ascii="宋体" w:hAnsi="宋体" w:eastAsia="宋体" w:cs="宋体"/>
                <w:b w:val="0"/>
                <w:bCs w:val="0"/>
                <w:sz w:val="21"/>
                <w:szCs w:val="21"/>
                <w:lang w:val="en-US" w:eastAsia="zh-CN"/>
              </w:rPr>
              <w:t xml:space="preserve">一般的，得3分；</w:t>
            </w:r>
            <w:r/>
          </w:p>
          <w:p>
            <w:pPr>
              <w:numPr>
                <w:ilvl w:val="0"/>
                <w:numId w:val="0"/>
              </w:numPr>
              <w:keepLines w:val="0"/>
              <w:keepNext w:val="0"/>
              <w:pageBreakBefore w:val="0"/>
              <w:spacing w:line="360" w:lineRule="auto"/>
              <w:widowControl w:val="off"/>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4.方案内容</w:t>
            </w:r>
            <w:r>
              <w:rPr>
                <w:rFonts w:hint="eastAsia" w:ascii="宋体" w:hAnsi="宋体" w:eastAsia="宋体" w:cs="宋体"/>
                <w:b w:val="0"/>
                <w:bCs w:val="0"/>
                <w:sz w:val="21"/>
                <w:szCs w:val="21"/>
              </w:rPr>
              <w:t xml:space="preserve">科学性、合理性、可行性</w:t>
            </w:r>
            <w:r>
              <w:rPr>
                <w:rFonts w:hint="eastAsia" w:ascii="宋体" w:hAnsi="宋体" w:eastAsia="宋体" w:cs="宋体"/>
                <w:b w:val="0"/>
                <w:bCs w:val="0"/>
                <w:sz w:val="21"/>
                <w:szCs w:val="21"/>
                <w:lang w:val="en-US" w:eastAsia="zh-CN"/>
              </w:rPr>
              <w:t xml:space="preserve">差的，得2分；</w:t>
            </w:r>
            <w:r/>
          </w:p>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5.不提供或者经评标委员会认定非常差的不得分。</w:t>
            </w:r>
            <w:r/>
          </w:p>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 xml:space="preserve">成品保护措施</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评委根据投标人提供的</w:t>
            </w:r>
            <w:r>
              <w:rPr>
                <w:rFonts w:hint="eastAsia" w:ascii="宋体" w:hAnsi="宋体" w:eastAsia="宋体" w:cs="宋体"/>
                <w:b w:val="0"/>
                <w:bCs w:val="0"/>
                <w:sz w:val="21"/>
                <w:szCs w:val="21"/>
                <w:lang w:val="en-US" w:eastAsia="zh-CN"/>
              </w:rPr>
              <w:t xml:space="preserve">供货运输及安装时的成品</w:t>
            </w:r>
            <w:r>
              <w:rPr>
                <w:rFonts w:hint="eastAsia" w:ascii="宋体" w:hAnsi="宋体" w:eastAsia="宋体" w:cs="宋体"/>
                <w:b w:val="0"/>
                <w:bCs w:val="0"/>
                <w:sz w:val="21"/>
                <w:szCs w:val="21"/>
              </w:rPr>
              <w:t xml:space="preserve">保护措施内容的科学性、合理性、可行性进行综合评审，酌情评定</w:t>
            </w:r>
            <w:r>
              <w:rPr>
                <w:rFonts w:hint="eastAsia" w:ascii="宋体" w:hAnsi="宋体" w:eastAsia="宋体" w:cs="宋体"/>
                <w:b w:val="0"/>
                <w:bCs w:val="0"/>
                <w:sz w:val="21"/>
                <w:szCs w:val="21"/>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1.方案内容</w:t>
            </w:r>
            <w:r>
              <w:rPr>
                <w:rFonts w:hint="eastAsia" w:ascii="宋体" w:hAnsi="宋体" w:eastAsia="宋体" w:cs="宋体"/>
                <w:b w:val="0"/>
                <w:bCs w:val="0"/>
                <w:sz w:val="21"/>
                <w:szCs w:val="21"/>
              </w:rPr>
              <w:t xml:space="preserve">科学性、合理性、可行性</w:t>
            </w:r>
            <w:r>
              <w:rPr>
                <w:rFonts w:hint="eastAsia" w:ascii="宋体" w:hAnsi="宋体" w:eastAsia="宋体" w:cs="宋体"/>
                <w:b w:val="0"/>
                <w:bCs w:val="0"/>
                <w:sz w:val="21"/>
                <w:szCs w:val="21"/>
                <w:lang w:val="en-US" w:eastAsia="zh-CN"/>
              </w:rPr>
              <w:t xml:space="preserve">强的，得5分；</w:t>
            </w:r>
            <w:r/>
          </w:p>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2.方案内容</w:t>
            </w:r>
            <w:r>
              <w:rPr>
                <w:rFonts w:hint="eastAsia" w:ascii="宋体" w:hAnsi="宋体" w:eastAsia="宋体" w:cs="宋体"/>
                <w:b w:val="0"/>
                <w:bCs w:val="0"/>
                <w:sz w:val="21"/>
                <w:szCs w:val="21"/>
              </w:rPr>
              <w:t xml:space="preserve">科学性、合理性、可行性</w:t>
            </w:r>
            <w:r>
              <w:rPr>
                <w:rFonts w:hint="eastAsia" w:ascii="宋体" w:hAnsi="宋体" w:eastAsia="宋体" w:cs="宋体"/>
                <w:b w:val="0"/>
                <w:bCs w:val="0"/>
                <w:sz w:val="21"/>
                <w:szCs w:val="21"/>
                <w:lang w:val="en-US" w:eastAsia="zh-CN"/>
              </w:rPr>
              <w:t xml:space="preserve">较强的，得4分；</w:t>
            </w:r>
            <w:r/>
          </w:p>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 xml:space="preserve">3.方案内容</w:t>
            </w:r>
            <w:r>
              <w:rPr>
                <w:rFonts w:hint="eastAsia" w:ascii="宋体" w:hAnsi="宋体" w:eastAsia="宋体" w:cs="宋体"/>
                <w:b w:val="0"/>
                <w:bCs w:val="0"/>
                <w:sz w:val="21"/>
                <w:szCs w:val="21"/>
              </w:rPr>
              <w:t xml:space="preserve">科学性、合理性、可行性</w:t>
            </w:r>
            <w:r>
              <w:rPr>
                <w:rFonts w:hint="eastAsia" w:ascii="宋体" w:hAnsi="宋体" w:eastAsia="宋体" w:cs="宋体"/>
                <w:b w:val="0"/>
                <w:bCs w:val="0"/>
                <w:sz w:val="21"/>
                <w:szCs w:val="21"/>
                <w:lang w:val="en-US" w:eastAsia="zh-CN"/>
              </w:rPr>
              <w:t xml:space="preserve">一般的，得3分；</w:t>
            </w:r>
            <w:r/>
          </w:p>
          <w:p>
            <w:pPr>
              <w:numPr>
                <w:ilvl w:val="0"/>
                <w:numId w:val="0"/>
              </w:numPr>
              <w:keepLines w:val="0"/>
              <w:keepNext w:val="0"/>
              <w:pageBreakBefore w:val="0"/>
              <w:spacing w:line="360" w:lineRule="auto"/>
              <w:widowControl w:val="off"/>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4.方案内容</w:t>
            </w:r>
            <w:r>
              <w:rPr>
                <w:rFonts w:hint="eastAsia" w:ascii="宋体" w:hAnsi="宋体" w:eastAsia="宋体" w:cs="宋体"/>
                <w:b w:val="0"/>
                <w:bCs w:val="0"/>
                <w:sz w:val="21"/>
                <w:szCs w:val="21"/>
              </w:rPr>
              <w:t xml:space="preserve">科学性、合理性、可行性</w:t>
            </w:r>
            <w:r>
              <w:rPr>
                <w:rFonts w:hint="eastAsia" w:ascii="宋体" w:hAnsi="宋体" w:eastAsia="宋体" w:cs="宋体"/>
                <w:b w:val="0"/>
                <w:bCs w:val="0"/>
                <w:sz w:val="21"/>
                <w:szCs w:val="21"/>
                <w:lang w:val="en-US" w:eastAsia="zh-CN"/>
              </w:rPr>
              <w:t xml:space="preserve">差的，得2分；</w:t>
            </w:r>
            <w:r/>
          </w:p>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5.不提供或者经评标委员会认定非常差的不得分。</w:t>
            </w:r>
            <w:r/>
          </w:p>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 xml:space="preserve">安全保障措施</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评委根据投标人提供的</w:t>
            </w:r>
            <w:r>
              <w:rPr>
                <w:rFonts w:hint="eastAsia" w:ascii="宋体" w:hAnsi="宋体" w:eastAsia="宋体" w:cs="宋体"/>
                <w:b w:val="0"/>
                <w:bCs w:val="0"/>
                <w:sz w:val="21"/>
                <w:szCs w:val="21"/>
                <w:lang w:val="en-US" w:eastAsia="zh-CN"/>
              </w:rPr>
              <w:t xml:space="preserve">空调安装安全保障</w:t>
            </w:r>
            <w:r>
              <w:rPr>
                <w:rFonts w:hint="eastAsia" w:ascii="宋体" w:hAnsi="宋体" w:eastAsia="宋体" w:cs="宋体"/>
                <w:b w:val="0"/>
                <w:bCs w:val="0"/>
                <w:sz w:val="21"/>
                <w:szCs w:val="21"/>
              </w:rPr>
              <w:t xml:space="preserve">措施内容</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包括安装人员须经过专业技术培训，具体相应操作技能和安全知识，具有应急管理部门颁发有效的特种作业操作证（包括制冷与空调作业、高处作业证和低压电工证等）；安装前准备中电源检查、空调检查、室内、外机安装位置选择、高空作业安全操作规范性、安装过程中室内、外机安全固定、电气安全等内容</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的</w:t>
            </w:r>
            <w:r>
              <w:rPr>
                <w:rFonts w:hint="eastAsia" w:ascii="宋体" w:hAnsi="宋体" w:eastAsia="宋体" w:cs="宋体"/>
                <w:b w:val="0"/>
                <w:bCs w:val="0"/>
                <w:sz w:val="21"/>
                <w:szCs w:val="21"/>
                <w:lang w:val="en-US" w:eastAsia="zh-CN"/>
              </w:rPr>
              <w:t xml:space="preserve">完整性</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规范</w:t>
            </w:r>
            <w:r>
              <w:rPr>
                <w:rFonts w:hint="eastAsia" w:ascii="宋体" w:hAnsi="宋体" w:eastAsia="宋体" w:cs="宋体"/>
                <w:b w:val="0"/>
                <w:bCs w:val="0"/>
                <w:sz w:val="21"/>
                <w:szCs w:val="21"/>
              </w:rPr>
              <w:t xml:space="preserve">性、可行性进行综合评审，酌情评定</w:t>
            </w:r>
            <w:r>
              <w:rPr>
                <w:rFonts w:hint="eastAsia" w:ascii="宋体" w:hAnsi="宋体" w:eastAsia="宋体" w:cs="宋体"/>
                <w:b w:val="0"/>
                <w:bCs w:val="0"/>
                <w:sz w:val="21"/>
                <w:szCs w:val="21"/>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1.方案内容完整性</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规范</w:t>
            </w:r>
            <w:r>
              <w:rPr>
                <w:rFonts w:hint="eastAsia" w:ascii="宋体" w:hAnsi="宋体" w:eastAsia="宋体" w:cs="宋体"/>
                <w:b w:val="0"/>
                <w:bCs w:val="0"/>
                <w:sz w:val="21"/>
                <w:szCs w:val="21"/>
              </w:rPr>
              <w:t xml:space="preserve">性、可行性</w:t>
            </w:r>
            <w:r>
              <w:rPr>
                <w:rFonts w:hint="eastAsia" w:ascii="宋体" w:hAnsi="宋体" w:eastAsia="宋体" w:cs="宋体"/>
                <w:b w:val="0"/>
                <w:bCs w:val="0"/>
                <w:sz w:val="21"/>
                <w:szCs w:val="21"/>
                <w:lang w:val="en-US" w:eastAsia="zh-CN"/>
              </w:rPr>
              <w:t xml:space="preserve">强的，得5分；</w:t>
            </w:r>
            <w:r/>
          </w:p>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2.方案内容完整性</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规范</w:t>
            </w:r>
            <w:r>
              <w:rPr>
                <w:rFonts w:hint="eastAsia" w:ascii="宋体" w:hAnsi="宋体" w:eastAsia="宋体" w:cs="宋体"/>
                <w:b w:val="0"/>
                <w:bCs w:val="0"/>
                <w:sz w:val="21"/>
                <w:szCs w:val="21"/>
              </w:rPr>
              <w:t xml:space="preserve">性、可行性</w:t>
            </w:r>
            <w:r>
              <w:rPr>
                <w:rFonts w:hint="eastAsia" w:ascii="宋体" w:hAnsi="宋体" w:eastAsia="宋体" w:cs="宋体"/>
                <w:b w:val="0"/>
                <w:bCs w:val="0"/>
                <w:sz w:val="21"/>
                <w:szCs w:val="21"/>
                <w:lang w:val="en-US" w:eastAsia="zh-CN"/>
              </w:rPr>
              <w:t xml:space="preserve">较强的，得4分；</w:t>
            </w:r>
            <w:r/>
          </w:p>
          <w:p>
            <w:pPr>
              <w:numPr>
                <w:ilvl w:val="0"/>
                <w:numId w:val="0"/>
              </w:numPr>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 xml:space="preserve">3.方案内容完整性</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规范</w:t>
            </w:r>
            <w:r>
              <w:rPr>
                <w:rFonts w:hint="eastAsia" w:ascii="宋体" w:hAnsi="宋体" w:eastAsia="宋体" w:cs="宋体"/>
                <w:b w:val="0"/>
                <w:bCs w:val="0"/>
                <w:sz w:val="21"/>
                <w:szCs w:val="21"/>
              </w:rPr>
              <w:t xml:space="preserve">性、可行性</w:t>
            </w:r>
            <w:r>
              <w:rPr>
                <w:rFonts w:hint="eastAsia" w:ascii="宋体" w:hAnsi="宋体" w:eastAsia="宋体" w:cs="宋体"/>
                <w:b w:val="0"/>
                <w:bCs w:val="0"/>
                <w:sz w:val="21"/>
                <w:szCs w:val="21"/>
                <w:lang w:val="en-US" w:eastAsia="zh-CN"/>
              </w:rPr>
              <w:t xml:space="preserve">一般的，得3分；</w:t>
            </w:r>
            <w:r/>
          </w:p>
          <w:p>
            <w:pPr>
              <w:numPr>
                <w:ilvl w:val="0"/>
                <w:numId w:val="0"/>
              </w:numPr>
              <w:keepLines w:val="0"/>
              <w:keepNext w:val="0"/>
              <w:pageBreakBefore w:val="0"/>
              <w:spacing w:line="360" w:lineRule="auto"/>
              <w:widowControl w:val="off"/>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4.方案内容完整性</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规范</w:t>
            </w:r>
            <w:r>
              <w:rPr>
                <w:rFonts w:hint="eastAsia" w:ascii="宋体" w:hAnsi="宋体" w:eastAsia="宋体" w:cs="宋体"/>
                <w:b w:val="0"/>
                <w:bCs w:val="0"/>
                <w:sz w:val="21"/>
                <w:szCs w:val="21"/>
              </w:rPr>
              <w:t xml:space="preserve">性、可行性</w:t>
            </w:r>
            <w:r>
              <w:rPr>
                <w:rFonts w:hint="eastAsia" w:ascii="宋体" w:hAnsi="宋体" w:eastAsia="宋体" w:cs="宋体"/>
                <w:b w:val="0"/>
                <w:bCs w:val="0"/>
                <w:sz w:val="21"/>
                <w:szCs w:val="21"/>
                <w:lang w:val="en-US" w:eastAsia="zh-CN"/>
              </w:rPr>
              <w:t xml:space="preserve">差的，得2分；</w:t>
            </w:r>
            <w:r/>
          </w:p>
          <w:p>
            <w:pPr>
              <w:numPr>
                <w:ilvl w:val="0"/>
                <w:numId w:val="0"/>
              </w:numPr>
              <w:keepLines w:val="0"/>
              <w:keepNext w:val="0"/>
              <w:pageBreakBefore w:val="0"/>
              <w:spacing w:line="360" w:lineRule="auto"/>
              <w:widowControl w:val="off"/>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5.不提供或者经评标委员会认定非常差的不得分。</w:t>
            </w:r>
            <w:r/>
          </w:p>
        </w:tc>
      </w:tr>
      <w:tr>
        <w:trPr>
          <w:jc w:val="center"/>
          <w:trHeight w:val="1041"/>
        </w:trPr>
        <w:tc>
          <w:tcPr>
            <w:tcMar>
              <w:left w:w="0" w:type="dxa"/>
              <w:top w:w="0" w:type="dxa"/>
              <w:right w:w="0" w:type="dxa"/>
              <w:bottom w:w="0" w:type="dxa"/>
            </w:tcMar>
            <w:tcW w:w="740" w:type="dxa"/>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w:t>
            </w:r>
            <w:r/>
          </w:p>
        </w:tc>
        <w:tc>
          <w:tcPr>
            <w:tcMar>
              <w:left w:w="0" w:type="dxa"/>
              <w:top w:w="0" w:type="dxa"/>
              <w:right w:w="0" w:type="dxa"/>
              <w:bottom w:w="0" w:type="dxa"/>
            </w:tcMar>
            <w:tcW w:w="1560"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质保要求</w:t>
            </w:r>
            <w:r/>
          </w:p>
        </w:tc>
        <w:tc>
          <w:tcPr>
            <w:tcMar>
              <w:left w:w="0" w:type="dxa"/>
              <w:top w:w="0" w:type="dxa"/>
              <w:right w:w="0" w:type="dxa"/>
              <w:bottom w:w="0" w:type="dxa"/>
            </w:tcMar>
            <w:tcW w:w="1110" w:type="dxa"/>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3分</w:t>
            </w:r>
            <w:r/>
          </w:p>
        </w:tc>
        <w:tc>
          <w:tcPr>
            <w:tcMar>
              <w:left w:w="0" w:type="dxa"/>
              <w:top w:w="0" w:type="dxa"/>
              <w:right w:w="0" w:type="dxa"/>
              <w:bottom w:w="0" w:type="dxa"/>
            </w:tcMar>
            <w:tcW w:w="5708"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1.投标人承诺质保期在招标文件基本要求（3年）基础上，每增加1年得1分，最多得3分。（投标时提供承诺书，承诺书格式自拟）</w:t>
            </w:r>
            <w:r/>
          </w:p>
        </w:tc>
      </w:tr>
      <w:tr>
        <w:trPr>
          <w:jc w:val="center"/>
          <w:trHeight w:val="1041"/>
        </w:trPr>
        <w:tc>
          <w:tcPr>
            <w:tcMar>
              <w:left w:w="0" w:type="dxa"/>
              <w:top w:w="0" w:type="dxa"/>
              <w:right w:w="0" w:type="dxa"/>
              <w:bottom w:w="0" w:type="dxa"/>
            </w:tcMar>
            <w:tcW w:w="740" w:type="dxa"/>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w:t>
            </w:r>
            <w:r/>
          </w:p>
        </w:tc>
        <w:tc>
          <w:tcPr>
            <w:tcMar>
              <w:left w:w="0" w:type="dxa"/>
              <w:top w:w="0" w:type="dxa"/>
              <w:right w:w="0" w:type="dxa"/>
              <w:bottom w:w="0" w:type="dxa"/>
            </w:tcMar>
            <w:tcW w:w="1560"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业绩</w:t>
            </w:r>
            <w:r/>
          </w:p>
        </w:tc>
        <w:tc>
          <w:tcPr>
            <w:tcMar>
              <w:left w:w="0" w:type="dxa"/>
              <w:top w:w="0" w:type="dxa"/>
              <w:right w:w="0" w:type="dxa"/>
              <w:bottom w:w="0" w:type="dxa"/>
            </w:tcMar>
            <w:tcW w:w="1110" w:type="dxa"/>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6分</w:t>
            </w:r>
            <w:r/>
          </w:p>
        </w:tc>
        <w:tc>
          <w:tcPr>
            <w:tcMar>
              <w:left w:w="0" w:type="dxa"/>
              <w:top w:w="0" w:type="dxa"/>
              <w:right w:w="0" w:type="dxa"/>
              <w:bottom w:w="0" w:type="dxa"/>
            </w:tcMar>
            <w:tcW w:w="5708"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投标人具有类似项目（空调供货及安装）业绩的，每提供1个业绩得2分，本项最高得6分。</w:t>
            </w:r>
            <w:r/>
          </w:p>
          <w:p>
            <w:pPr>
              <w:keepLines w:val="0"/>
              <w:keepNext w:val="0"/>
              <w:pageBreakBefore w:val="0"/>
              <w:spacing w:line="360" w:lineRule="auto"/>
              <w:widowControl w:val="off"/>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注：</w:t>
            </w:r>
            <w:r>
              <w:rPr>
                <w:rFonts w:hint="eastAsia" w:ascii="宋体" w:hAnsi="宋体" w:eastAsia="宋体" w:cs="宋体"/>
                <w:i w:val="0"/>
                <w:iCs w:val="0"/>
                <w:color w:val="000000"/>
                <w:sz w:val="22"/>
                <w:szCs w:val="22"/>
                <w:lang w:val="en-US" w:eastAsia="zh-CN" w:bidi="ar"/>
              </w:rPr>
              <w:t xml:space="preserve">投标文件中须提供业绩合同扫描件，未提供或提供不全不得分。</w:t>
            </w:r>
            <w:r/>
          </w:p>
        </w:tc>
      </w:tr>
    </w:tbl>
    <w:p>
      <w:pPr>
        <w:pStyle w:val="846"/>
        <w:jc w:val="both"/>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6"/>
        <w:jc w:val="both"/>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6"/>
        <w:jc w:val="both"/>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6"/>
        <w:jc w:val="both"/>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6"/>
        <w:jc w:val="both"/>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6"/>
        <w:jc w:val="both"/>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6"/>
        <w:jc w:val="both"/>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6"/>
        <w:jc w:val="both"/>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46"/>
        <w:jc w:val="both"/>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46"/>
        <w:jc w:val="both"/>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46"/>
        <w:jc w:val="both"/>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46"/>
        <w:jc w:val="both"/>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p>
    <w:p>
      <w:pPr>
        <w:pStyle w:val="846"/>
        <w:jc w:val="both"/>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p>
    <w:p>
      <w:pPr>
        <w:pStyle w:val="846"/>
        <w:jc w:val="both"/>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6"/>
        <w:jc w:val="both"/>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6"/>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846"/>
        <w:jc w:val="center"/>
        <w:spacing w:beforeAutospacing="0" w:afterAutospacing="0"/>
        <w:rPr>
          <w:highlight w:val="none"/>
        </w:rPr>
      </w:pPr>
      <w:r/>
      <w:bookmarkStart w:id="174" w:name="_Toc120614282"/>
      <w:r/>
      <w:bookmarkEnd w:id="174"/>
      <w:r/>
      <w:bookmarkStart w:id="175" w:name="_Toc49090576"/>
      <w:r/>
      <w:bookmarkEnd w:id="175"/>
      <w:r/>
      <w:bookmarkStart w:id="176" w:name="_Hlt26955039"/>
      <w:r/>
      <w:bookmarkStart w:id="177" w:name="_Toc26554094"/>
      <w:r/>
      <w:bookmarkStart w:id="178" w:name="_Hlt26671244"/>
      <w:r>
        <w:rPr>
          <w:rFonts w:hint="eastAsia" w:ascii="宋体" w:hAnsi="宋体" w:eastAsia="宋体" w:cs="宋体"/>
          <w:b/>
          <w:color w:val="000000"/>
          <w:sz w:val="72"/>
          <w:szCs w:val="72"/>
          <w:highlight w:val="none"/>
        </w:rPr>
        <w:t xml:space="preserve">投  标  文  件</w:t>
      </w:r>
      <w:r/>
    </w:p>
    <w:p>
      <w:pPr>
        <w:pStyle w:val="846"/>
        <w:jc w:val="center"/>
        <w:spacing w:beforeAutospacing="0" w:afterAutospacing="0"/>
        <w:rPr>
          <w:highlight w:val="none"/>
        </w:rPr>
      </w:pPr>
      <w:r>
        <w:rPr>
          <w:highlight w:val="none"/>
        </w:rPr>
        <w:t xml:space="preserve"> </w:t>
      </w:r>
      <w:r/>
    </w:p>
    <w:p>
      <w:pPr>
        <w:pStyle w:val="846"/>
        <w:jc w:val="center"/>
        <w:spacing w:beforeAutospacing="0" w:afterAutospacing="0"/>
        <w:rPr>
          <w:highlight w:val="none"/>
        </w:rPr>
      </w:pPr>
      <w:r>
        <w:rPr>
          <w:highlight w:val="none"/>
        </w:rPr>
        <w:t xml:space="preserve"> </w:t>
      </w:r>
      <w:r/>
    </w:p>
    <w:p>
      <w:pPr>
        <w:pStyle w:val="846"/>
        <w:jc w:val="center"/>
        <w:spacing w:beforeAutospacing="0" w:afterAutospacing="0"/>
        <w:rPr>
          <w:highlight w:val="none"/>
        </w:rPr>
      </w:pPr>
      <w:r>
        <w:rPr>
          <w:highlight w:val="none"/>
        </w:rPr>
        <w:t xml:space="preserve"> </w:t>
      </w:r>
      <w:r/>
    </w:p>
    <w:p>
      <w:pPr>
        <w:pStyle w:val="846"/>
        <w:jc w:val="center"/>
        <w:spacing w:beforeAutospacing="0" w:afterAutospacing="0"/>
        <w:rPr>
          <w:highlight w:val="none"/>
        </w:rPr>
      </w:pPr>
      <w:r>
        <w:rPr>
          <w:highlight w:val="none"/>
        </w:rPr>
        <w:t xml:space="preserve"> </w:t>
      </w:r>
      <w:r/>
    </w:p>
    <w:p>
      <w:pPr>
        <w:pStyle w:val="846"/>
        <w:jc w:val="center"/>
        <w:spacing w:beforeAutospacing="0" w:afterAutospacing="0"/>
        <w:rPr>
          <w:highlight w:val="none"/>
        </w:rPr>
      </w:pPr>
      <w:r>
        <w:rPr>
          <w:highlight w:val="none"/>
        </w:rPr>
        <w:t xml:space="preserve"> </w:t>
      </w:r>
      <w:r/>
    </w:p>
    <w:p>
      <w:pPr>
        <w:pStyle w:val="846"/>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846"/>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846"/>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p>
    <w:p>
      <w:pPr>
        <w:pStyle w:val="846"/>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both"/>
        <w:spacing w:beforeAutospacing="0" w:afterAutospacing="0" w:line="0" w:lineRule="atLeast"/>
        <w:rPr>
          <w:highlight w:val="none"/>
        </w:rPr>
      </w:pPr>
      <w:r>
        <w:rPr>
          <w:highlight w:val="none"/>
        </w:rPr>
      </w:r>
      <w:r/>
    </w:p>
    <w:p>
      <w:pPr>
        <w:pStyle w:val="846"/>
        <w:jc w:val="both"/>
        <w:spacing w:beforeAutospacing="0" w:afterAutospacing="0" w:line="0" w:lineRule="atLeast"/>
        <w:rPr>
          <w:highlight w:val="none"/>
        </w:rPr>
      </w:pPr>
      <w:r>
        <w:rPr>
          <w:highlight w:val="none"/>
        </w:rPr>
      </w:r>
      <w:r>
        <w:rPr>
          <w:highlight w:val="none"/>
        </w:rPr>
      </w:r>
      <w:r/>
    </w:p>
    <w:p>
      <w:pPr>
        <w:pStyle w:val="846"/>
        <w:jc w:val="both"/>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46"/>
        <w:jc w:val="center"/>
        <w:spacing w:beforeAutospacing="0" w:afterAutospacing="0" w:line="0" w:lineRule="atLeast"/>
        <w:rPr>
          <w:highlight w:val="none"/>
        </w:rPr>
      </w:pPr>
      <w:r>
        <w:rPr>
          <w:highlight w:val="none"/>
        </w:rPr>
        <w:t xml:space="preserve"> </w:t>
      </w:r>
      <w:r/>
    </w:p>
    <w:p>
      <w:pPr>
        <w:pStyle w:val="846"/>
        <w:ind w:left="480"/>
        <w:jc w:val="both"/>
        <w:keepLines w:val="0"/>
        <w:keepNext w:val="0"/>
        <w:pageBreakBefore w:val="0"/>
        <w:spacing w:beforeAutospacing="0" w:afterAutospacing="0" w:line="360" w:lineRule="auto"/>
        <w:widowControl w:val="off"/>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keepLines w:val="0"/>
        <w:keepNext w:val="0"/>
        <w:pageBreakBefore w:val="0"/>
        <w:spacing w:line="360" w:lineRule="auto"/>
        <w:widowControl w:val="off"/>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二、上一年度的财务状况报告（至少提供资产负债表、利润表、现金流量表，投标人成立不满一年无需提供）</w:t>
      </w:r>
      <w:r/>
    </w:p>
    <w:p>
      <w:pPr>
        <w:pStyle w:val="846"/>
        <w:ind w:left="480"/>
        <w:jc w:val="both"/>
        <w:keepLines w:val="0"/>
        <w:keepNext w:val="0"/>
        <w:pageBreakBefore w:val="0"/>
        <w:spacing w:beforeAutospacing="0" w:afterAutospacing="0" w:line="360" w:lineRule="auto"/>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46"/>
        <w:ind w:left="480"/>
        <w:jc w:val="both"/>
        <w:keepLines w:val="0"/>
        <w:keepNext w:val="0"/>
        <w:pageBreakBefore w:val="0"/>
        <w:spacing w:beforeAutospacing="0" w:afterAutospacing="0" w:line="360" w:lineRule="auto"/>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46"/>
        <w:ind w:firstLine="480"/>
        <w:jc w:val="both"/>
        <w:keepLines w:val="0"/>
        <w:keepNext w:val="0"/>
        <w:pageBreakBefore w:val="0"/>
        <w:spacing w:beforeAutospacing="0" w:afterAutospacing="0" w:line="360" w:lineRule="auto"/>
        <w:widowControl w:val="off"/>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46"/>
        <w:ind w:firstLine="480"/>
        <w:jc w:val="both"/>
        <w:keepLines w:val="0"/>
        <w:keepNext w:val="0"/>
        <w:pageBreakBefore w:val="0"/>
        <w:spacing w:beforeAutospacing="0" w:afterAutospacing="0" w:line="360" w:lineRule="auto"/>
        <w:widowControl w:val="off"/>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846"/>
        <w:ind w:firstLine="480"/>
        <w:jc w:val="both"/>
        <w:keepLines w:val="0"/>
        <w:keepNext w:val="0"/>
        <w:pageBreakBefore w:val="0"/>
        <w:spacing w:beforeAutospacing="0" w:afterAutospacing="0" w:line="360" w:lineRule="auto"/>
        <w:widowControl w:val="off"/>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846"/>
        <w:ind w:firstLine="480"/>
        <w:jc w:val="both"/>
        <w:keepLines w:val="0"/>
        <w:keepNext w:val="0"/>
        <w:pageBreakBefore w:val="0"/>
        <w:spacing w:beforeAutospacing="0" w:afterAutospacing="0" w:line="360" w:lineRule="auto"/>
        <w:widowControl w:val="off"/>
        <w:rPr>
          <w:i w:val="0"/>
          <w:iCs/>
          <w:highlight w:val="none"/>
          <w:u w:val="none"/>
        </w:rPr>
      </w:pPr>
      <w:r>
        <w:rPr>
          <w:rFonts w:hint="eastAsia" w:ascii="宋体" w:hAnsi="宋体" w:eastAsia="宋体" w:cs="宋体"/>
          <w:i w:val="0"/>
          <w:iCs/>
          <w:color w:val="000000"/>
          <w:highlight w:val="none"/>
          <w:u w:val="none"/>
        </w:rPr>
        <w:t xml:space="preserve">八、投标函</w:t>
      </w:r>
      <w:r/>
    </w:p>
    <w:p>
      <w:pPr>
        <w:pStyle w:val="846"/>
        <w:ind w:firstLine="480"/>
        <w:jc w:val="both"/>
        <w:keepLines w:val="0"/>
        <w:keepNext w:val="0"/>
        <w:pageBreakBefore w:val="0"/>
        <w:spacing w:beforeAutospacing="0" w:afterAutospacing="0" w:line="360" w:lineRule="auto"/>
        <w:widowControl w:val="off"/>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46"/>
        <w:ind w:firstLine="480"/>
        <w:jc w:val="both"/>
        <w:keepLines w:val="0"/>
        <w:keepNext w:val="0"/>
        <w:pageBreakBefore w:val="0"/>
        <w:spacing w:beforeAutospacing="0" w:afterAutospacing="0" w:line="360" w:lineRule="auto"/>
        <w:widowControl w:val="off"/>
        <w:rPr>
          <w:i w:val="0"/>
          <w:iCs/>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46"/>
        <w:ind w:firstLine="480"/>
        <w:jc w:val="both"/>
        <w:keepLines w:val="0"/>
        <w:keepNext w:val="0"/>
        <w:pageBreakBefore w:val="0"/>
        <w:spacing w:beforeAutospacing="0" w:afterAutospacing="0" w:line="360" w:lineRule="auto"/>
        <w:widowControl w:val="off"/>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一</w:t>
      </w:r>
      <w:r>
        <w:rPr>
          <w:rFonts w:hint="eastAsia" w:ascii="宋体" w:hAnsi="宋体" w:eastAsia="宋体" w:cs="宋体"/>
          <w:i w:val="0"/>
          <w:iCs/>
          <w:color w:val="000000"/>
          <w:highlight w:val="none"/>
          <w:u w:val="none"/>
        </w:rPr>
        <w:t xml:space="preserve">、分项报价表</w:t>
      </w:r>
      <w:r/>
    </w:p>
    <w:p>
      <w:pPr>
        <w:pStyle w:val="846"/>
        <w:ind w:firstLine="480"/>
        <w:jc w:val="both"/>
        <w:keepLines w:val="0"/>
        <w:keepNext w:val="0"/>
        <w:pageBreakBefore w:val="0"/>
        <w:spacing w:beforeAutospacing="0" w:afterAutospacing="0" w:line="360" w:lineRule="auto"/>
        <w:widowControl w:val="off"/>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、技术要求响应及偏离表</w:t>
      </w:r>
      <w:r/>
    </w:p>
    <w:p>
      <w:pPr>
        <w:pStyle w:val="846"/>
        <w:ind w:firstLine="480"/>
        <w:jc w:val="both"/>
        <w:keepLines w:val="0"/>
        <w:keepNext w:val="0"/>
        <w:pageBreakBefore w:val="0"/>
        <w:spacing w:beforeAutospacing="0" w:afterAutospacing="0" w:line="360" w:lineRule="auto"/>
        <w:widowControl w:val="off"/>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、商务要求响应及偏离表</w:t>
      </w:r>
      <w:r/>
    </w:p>
    <w:p>
      <w:pPr>
        <w:pStyle w:val="846"/>
        <w:ind w:firstLine="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、开标一览表</w:t>
      </w:r>
      <w:r/>
    </w:p>
    <w:p>
      <w:pPr>
        <w:pStyle w:val="846"/>
        <w:ind w:firstLine="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、盐城市政府采购事前信用承诺书</w:t>
      </w:r>
      <w:r/>
    </w:p>
    <w:p>
      <w:pPr>
        <w:pStyle w:val="846"/>
        <w:ind w:firstLine="480"/>
        <w:jc w:val="both"/>
        <w:spacing w:beforeAutospacing="0" w:afterAutospacing="0" w:line="0" w:lineRule="atLeast"/>
        <w:rPr>
          <w:rFonts w:hint="default" w:eastAsiaTheme="minorEastAsia"/>
          <w:highlight w:val="none"/>
          <w:lang w:val="en-US" w:eastAsia="zh-CN"/>
        </w:rPr>
      </w:pPr>
      <w:r>
        <w:rPr>
          <w:highlight w:val="none"/>
        </w:rPr>
        <w:t xml:space="preserve"> </w:t>
      </w:r>
      <w:r>
        <w:rPr>
          <w:rFonts w:hint="eastAsia"/>
          <w:highlight w:val="none"/>
          <w:lang w:val="en-US" w:eastAsia="zh-CN"/>
        </w:rPr>
        <w:t xml:space="preserve">十六、其他材料（如有）</w:t>
      </w:r>
      <w:r/>
    </w:p>
    <w:p>
      <w:pPr>
        <w:pStyle w:val="846"/>
        <w:ind w:firstLine="480"/>
        <w:jc w:val="both"/>
        <w:spacing w:beforeAutospacing="0" w:afterAutospacing="0" w:line="0" w:lineRule="atLeast"/>
        <w:rPr>
          <w:highlight w:val="none"/>
        </w:rPr>
      </w:pPr>
      <w:r>
        <w:rPr>
          <w:highlight w:val="none"/>
        </w:rPr>
        <w:t xml:space="preserve"> </w:t>
      </w:r>
      <w:r/>
    </w:p>
    <w:p>
      <w:pPr>
        <w:pStyle w:val="846"/>
        <w:ind w:firstLine="480"/>
        <w:jc w:val="both"/>
        <w:spacing w:beforeAutospacing="0" w:afterAutospacing="0" w:line="0" w:lineRule="atLeast"/>
        <w:rPr>
          <w:highlight w:val="none"/>
        </w:rPr>
      </w:pPr>
      <w:r>
        <w:rPr>
          <w:highlight w:val="none"/>
        </w:rPr>
        <w:t xml:space="preserve"> </w:t>
      </w:r>
      <w:r/>
    </w:p>
    <w:p>
      <w:pPr>
        <w:pStyle w:val="846"/>
        <w:ind w:firstLine="480"/>
        <w:jc w:val="both"/>
        <w:spacing w:beforeAutospacing="0" w:afterAutospacing="0" w:line="0" w:lineRule="atLeast"/>
        <w:rPr>
          <w:highlight w:val="none"/>
        </w:rPr>
      </w:pPr>
      <w:r>
        <w:rPr>
          <w:highlight w:val="none"/>
        </w:rPr>
        <w:t xml:space="preserve"> </w:t>
      </w:r>
      <w:r/>
    </w:p>
    <w:p>
      <w:pPr>
        <w:pStyle w:val="846"/>
        <w:ind w:firstLine="480"/>
        <w:jc w:val="both"/>
        <w:spacing w:beforeAutospacing="0" w:afterAutospacing="0" w:line="0" w:lineRule="atLeast"/>
        <w:rPr>
          <w:highlight w:val="none"/>
        </w:rPr>
      </w:pPr>
      <w:r>
        <w:rPr>
          <w:highlight w:val="none"/>
        </w:rPr>
        <w:t xml:space="preserve"> </w:t>
      </w:r>
      <w:r/>
    </w:p>
    <w:p>
      <w:pPr>
        <w:pStyle w:val="846"/>
        <w:ind w:firstLine="480"/>
        <w:jc w:val="both"/>
        <w:spacing w:beforeAutospacing="0" w:afterAutospacing="0" w:line="0" w:lineRule="atLeast"/>
        <w:rPr>
          <w:highlight w:val="none"/>
        </w:rPr>
      </w:pPr>
      <w:r>
        <w:rPr>
          <w:highlight w:val="none"/>
        </w:rPr>
        <w:t xml:space="preserve"> </w:t>
      </w:r>
      <w:r/>
    </w:p>
    <w:p>
      <w:pPr>
        <w:pStyle w:val="846"/>
        <w:ind w:firstLine="480"/>
        <w:jc w:val="both"/>
        <w:spacing w:beforeAutospacing="0" w:afterAutospacing="0" w:line="0" w:lineRule="atLeast"/>
        <w:rPr>
          <w:highlight w:val="none"/>
        </w:rPr>
      </w:pPr>
      <w:r>
        <w:rPr>
          <w:highlight w:val="none"/>
        </w:rPr>
        <w:t xml:space="preserve"> </w:t>
      </w:r>
      <w:r/>
    </w:p>
    <w:p>
      <w:pPr>
        <w:pStyle w:val="846"/>
        <w:ind w:firstLine="480"/>
        <w:jc w:val="both"/>
        <w:spacing w:beforeAutospacing="0" w:afterAutospacing="0" w:line="0" w:lineRule="atLeast"/>
        <w:rPr>
          <w:highlight w:val="none"/>
        </w:rPr>
      </w:pPr>
      <w:r>
        <w:rPr>
          <w:highlight w:val="none"/>
        </w:rPr>
        <w:t xml:space="preserve"> </w:t>
      </w:r>
      <w:r/>
    </w:p>
    <w:p>
      <w:pPr>
        <w:pStyle w:val="846"/>
        <w:ind w:firstLine="480"/>
        <w:jc w:val="both"/>
        <w:spacing w:beforeAutospacing="0" w:afterAutospacing="0" w:line="0" w:lineRule="atLeast"/>
        <w:rPr>
          <w:highlight w:val="none"/>
        </w:rPr>
      </w:pPr>
      <w:r>
        <w:rPr>
          <w:highlight w:val="none"/>
        </w:rPr>
      </w:r>
      <w:r/>
    </w:p>
    <w:p>
      <w:pPr>
        <w:pStyle w:val="846"/>
        <w:jc w:val="both"/>
        <w:spacing w:beforeAutospacing="0" w:afterAutospacing="0" w:line="0" w:lineRule="atLeast"/>
        <w:rPr>
          <w:highlight w:val="none"/>
        </w:rPr>
      </w:pPr>
      <w:r>
        <w:rPr>
          <w:highlight w:val="none"/>
        </w:rPr>
      </w:r>
      <w:r/>
    </w:p>
    <w:p>
      <w:pPr>
        <w:pStyle w:val="846"/>
        <w:jc w:val="both"/>
        <w:spacing w:beforeAutospacing="0" w:afterAutospacing="0" w:line="0" w:lineRule="atLeast"/>
        <w:rPr>
          <w:highlight w:val="none"/>
        </w:rPr>
      </w:pPr>
      <w:r>
        <w:rPr>
          <w:highlight w:val="none"/>
        </w:rPr>
      </w:r>
      <w:r/>
    </w:p>
    <w:p>
      <w:pPr>
        <w:pStyle w:val="846"/>
        <w:jc w:val="both"/>
        <w:spacing w:beforeAutospacing="0" w:afterAutospacing="0" w:line="0" w:lineRule="atLeast"/>
        <w:rPr>
          <w:highlight w:val="none"/>
        </w:rPr>
      </w:pPr>
      <w:r>
        <w:rPr>
          <w:highlight w:val="none"/>
        </w:rPr>
      </w:r>
      <w:r/>
    </w:p>
    <w:p>
      <w:pPr>
        <w:pStyle w:val="846"/>
        <w:jc w:val="both"/>
        <w:spacing w:beforeAutospacing="0" w:afterAutospacing="0" w:line="0" w:lineRule="atLeast"/>
        <w:rPr>
          <w:highlight w:val="none"/>
        </w:rPr>
      </w:pPr>
      <w:r>
        <w:rPr>
          <w:highlight w:val="none"/>
        </w:rPr>
      </w:r>
      <w:r/>
    </w:p>
    <w:p>
      <w:pPr>
        <w:pStyle w:val="846"/>
        <w:ind w:firstLine="480"/>
        <w:jc w:val="both"/>
        <w:spacing w:beforeAutospacing="0" w:afterAutospacing="0" w:line="0" w:lineRule="atLeast"/>
        <w:rPr>
          <w:highlight w:val="none"/>
        </w:rPr>
      </w:pPr>
      <w:r>
        <w:rPr>
          <w:highlight w:val="none"/>
        </w:rPr>
        <w:t xml:space="preserve"> </w:t>
      </w:r>
      <w:r/>
    </w:p>
    <w:p>
      <w:pPr>
        <w:pStyle w:val="846"/>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6"/>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46"/>
        <w:ind w:firstLine="480"/>
        <w:jc w:val="both"/>
        <w:spacing w:beforeAutospacing="0" w:afterAutospacing="0" w:line="0" w:lineRule="atLeast"/>
        <w:rPr>
          <w:highlight w:val="none"/>
        </w:rPr>
      </w:pPr>
      <w:r>
        <w:rPr>
          <w:highlight w:val="none"/>
        </w:rPr>
        <w:t xml:space="preserve"> </w:t>
      </w:r>
      <w:r/>
    </w:p>
    <w:p>
      <w:pPr>
        <w:pStyle w:val="846"/>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46"/>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46"/>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4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46"/>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46"/>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46"/>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846"/>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46"/>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846"/>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46"/>
        <w:jc w:val="center"/>
        <w:spacing w:beforeAutospacing="0" w:afterAutospacing="0"/>
        <w:rPr>
          <w:rFonts w:ascii="黑体" w:hAnsi="宋体" w:eastAsia="黑体" w:cs="黑体"/>
          <w:i/>
          <w:color w:val="000000"/>
          <w:sz w:val="32"/>
          <w:szCs w:val="32"/>
          <w:highlight w:val="none"/>
          <w:u w:val="single"/>
        </w:rPr>
      </w:pPr>
      <w:r/>
      <w:bookmarkStart w:id="179" w:name="_Toc120614284"/>
      <w:r/>
      <w:r/>
    </w:p>
    <w:p>
      <w:pPr>
        <w:pStyle w:val="846"/>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46"/>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46"/>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46"/>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46"/>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46"/>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46"/>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46"/>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46"/>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46"/>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6"/>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6"/>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846"/>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w:t>
      </w:r>
      <w:r>
        <w:rPr>
          <w:rFonts w:hint="eastAsia" w:ascii="Times New Roman" w:hAnsi="Times New Roman"/>
          <w:color w:val="000000"/>
          <w:highlight w:val="none"/>
        </w:rPr>
        <w:t xml:space="preserve">JSZC-320922-JZCG-G2025-0024</w:t>
      </w:r>
      <w:r>
        <w:rPr>
          <w:rFonts w:ascii="Times New Roman" w:hAnsi="Times New Roman"/>
          <w:color w:val="000000"/>
          <w:highlight w:val="none"/>
        </w:rPr>
        <w:t xml:space="preserve">号项目采购活动的合法代理人，以本单位名义全权处理一切与该项目采购有关的事务。</w:t>
      </w:r>
      <w:r/>
    </w:p>
    <w:p>
      <w:pPr>
        <w:pStyle w:val="846"/>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46"/>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46"/>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46"/>
        <w:ind w:firstLine="72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46"/>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846"/>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80" w:name="_格式3__银行出具的资信证明"/>
      <w:r/>
      <w:bookmarkStart w:id="181" w:name="_Hlt26671380"/>
      <w:r/>
      <w:bookmarkStart w:id="182" w:name="_Hlt26955070"/>
      <w:r>
        <w:rPr>
          <w:rFonts w:ascii="Times New Roman" w:hAnsi="Times New Roman"/>
          <w:color w:val="000000"/>
          <w:highlight w:val="none"/>
          <w:u w:val="single"/>
        </w:rPr>
        <w:t xml:space="preserve">                                         </w:t>
      </w:r>
      <w:r/>
    </w:p>
    <w:p>
      <w:pPr>
        <w:pStyle w:val="846"/>
        <w:ind w:firstLine="420"/>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line="0" w:lineRule="atLeast"/>
        <w:rPr>
          <w:highlight w:val="none"/>
          <w:shd w:val="clear" w:color="auto" w:fill="auto"/>
        </w:rPr>
      </w:pPr>
      <w:r>
        <w:rPr>
          <w:highlight w:val="none"/>
          <w:shd w:val="clear" w:color="auto" w:fill="auto"/>
        </w:rPr>
        <w:t xml:space="preserve"> </w:t>
      </w:r>
      <w:r/>
    </w:p>
    <w:p>
      <w:pPr>
        <w:pStyle w:val="846"/>
        <w:ind w:firstLine="3390"/>
        <w:jc w:val="both"/>
        <w:keepLines/>
        <w:keepNext/>
        <w:spacing w:before="260" w:beforeAutospacing="0" w:after="260" w:afterAutospacing="0" w:line="415" w:lineRule="auto"/>
        <w:rPr>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i/>
          <w:color w:val="000000"/>
          <w:sz w:val="32"/>
          <w:szCs w:val="32"/>
          <w:highlight w:val="none"/>
          <w:u w:val="single"/>
        </w:rPr>
        <w:t xml:space="preserve">八、投标函</w:t>
      </w:r>
      <w:r/>
    </w:p>
    <w:p>
      <w:pPr>
        <w:pStyle w:val="846"/>
        <w:spacing w:beforeAutospacing="0" w:afterAutospacing="0" w:line="0" w:lineRule="atLeast"/>
        <w:rPr>
          <w:highlight w:val="none"/>
        </w:rPr>
      </w:pPr>
      <w:r>
        <w:rPr>
          <w:rFonts w:hint="eastAsia" w:ascii="宋体" w:hAnsi="宋体" w:eastAsia="宋体" w:cs="宋体"/>
          <w:color w:val="000000"/>
          <w:highlight w:val="none"/>
        </w:rPr>
        <w:t xml:space="preserve">致：滨海县政府采购中心</w:t>
      </w:r>
      <w:r/>
    </w:p>
    <w:p>
      <w:pPr>
        <w:pStyle w:val="846"/>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u w:val="single"/>
        </w:rPr>
        <w:t xml:space="preserve">JSZC-320922-JZCG-G2025-0024</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846"/>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846"/>
        <w:ind w:firstLine="480"/>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sz w:val="24"/>
        </w:rPr>
        <w:t xml:space="preserve">我单位此次</w:t>
      </w:r>
      <w:r>
        <w:rPr>
          <w:rFonts w:hint="eastAsia" w:ascii="宋体" w:hAnsi="宋体" w:cs="宋体"/>
          <w:sz w:val="24"/>
          <w:szCs w:val="24"/>
        </w:rPr>
        <w:t xml:space="preserve">供货期限（含安装调试工</w:t>
      </w:r>
      <w:r>
        <w:rPr>
          <w:rFonts w:hint="eastAsia" w:ascii="宋体" w:hAnsi="宋体" w:cs="宋体"/>
          <w:color w:val="auto"/>
          <w:sz w:val="24"/>
          <w:szCs w:val="24"/>
        </w:rPr>
        <w:t xml:space="preserve">期）：</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日历天</w:t>
      </w:r>
      <w:r>
        <w:rPr>
          <w:rFonts w:hint="eastAsia" w:ascii="宋体" w:hAnsi="宋体" w:cs="宋体"/>
          <w:color w:val="auto"/>
          <w:sz w:val="24"/>
          <w:szCs w:val="24"/>
        </w:rPr>
        <w:t xml:space="preserve">；质量保修</w:t>
      </w:r>
      <w:r>
        <w:rPr>
          <w:rFonts w:hint="eastAsia" w:ascii="宋体" w:hAnsi="宋体" w:cs="宋体"/>
          <w:b/>
          <w:bCs/>
          <w:color w:val="auto"/>
          <w:sz w:val="24"/>
          <w:szCs w:val="24"/>
        </w:rPr>
        <w:t xml:space="preserve">期</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rPr>
        <w:t xml:space="preserve">年</w:t>
      </w:r>
      <w:r>
        <w:rPr>
          <w:rFonts w:hint="eastAsia" w:ascii="宋体" w:hAnsi="宋体" w:cs="宋体"/>
          <w:color w:val="auto"/>
          <w:sz w:val="24"/>
          <w:szCs w:val="24"/>
        </w:rPr>
        <w:t xml:space="preserve">。质量</w:t>
      </w:r>
      <w:r>
        <w:rPr>
          <w:rFonts w:hint="eastAsia" w:ascii="宋体" w:hAnsi="宋体" w:cs="宋体"/>
          <w:color w:val="auto"/>
          <w:sz w:val="24"/>
          <w:szCs w:val="24"/>
          <w:lang w:val="en-US" w:eastAsia="zh-CN"/>
        </w:rPr>
        <w:t xml:space="preserve">标准：</w:t>
      </w:r>
      <w:r>
        <w:rPr>
          <w:rFonts w:hint="eastAsia" w:ascii="宋体" w:hAnsi="宋体" w:cs="宋体"/>
          <w:color w:val="auto"/>
          <w:sz w:val="24"/>
          <w:szCs w:val="24"/>
          <w:u w:val="single"/>
        </w:rPr>
        <w:t xml:space="preserve">合格</w:t>
      </w:r>
      <w:r>
        <w:rPr>
          <w:rFonts w:hint="eastAsia" w:ascii="宋体" w:hAnsi="宋体" w:cs="宋体"/>
          <w:color w:val="auto"/>
          <w:sz w:val="24"/>
          <w:szCs w:val="24"/>
        </w:rPr>
        <w:t xml:space="preserve">。</w:t>
      </w:r>
      <w:r/>
    </w:p>
    <w:p>
      <w:pPr>
        <w:pStyle w:val="846"/>
        <w:ind w:firstLine="480"/>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szCs w:val="21"/>
        </w:rPr>
        <w:t xml:space="preserve">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p>
    <w:p>
      <w:pPr>
        <w:pStyle w:val="846"/>
        <w:ind w:firstLine="480"/>
        <w:spacing w:beforeAutospacing="0" w:afterAutospacing="0" w:line="0" w:lineRule="atLeast"/>
        <w:rPr>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.按招标文件规定的各项要求，向买方提供所需货物（包含与货物相关的服务）。</w:t>
      </w:r>
      <w:r/>
    </w:p>
    <w:p>
      <w:pPr>
        <w:pStyle w:val="846"/>
        <w:ind w:firstLine="480"/>
        <w:spacing w:beforeAutospacing="0" w:afterAutospacing="0" w:line="0" w:lineRule="atLeast"/>
        <w:rPr>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.我们完全理解贵方不一定将合同授予最低报价的投标人。</w:t>
      </w:r>
      <w:r/>
    </w:p>
    <w:p>
      <w:pPr>
        <w:pStyle w:val="846"/>
        <w:ind w:firstLine="480"/>
        <w:spacing w:beforeAutospacing="0" w:afterAutospacing="0" w:line="0" w:lineRule="atLeast"/>
        <w:rPr>
          <w:highlight w:val="none"/>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.我们已详细审核全部招标文件及其有效补充文件，我们知道必须放弃提出含糊不清或误解问题的权利。</w:t>
      </w:r>
      <w:r/>
    </w:p>
    <w:p>
      <w:pPr>
        <w:pStyle w:val="846"/>
        <w:ind w:firstLine="480"/>
        <w:spacing w:beforeAutospacing="0" w:afterAutospacing="0" w:line="0" w:lineRule="atLeast"/>
        <w:rPr>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.我们同意从规定的开标日期起遵循本投标文件，并在规定的投标有效期期满之前均具有约束力。</w:t>
      </w:r>
      <w:r/>
    </w:p>
    <w:p>
      <w:pPr>
        <w:pStyle w:val="846"/>
        <w:ind w:firstLine="480"/>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7.如果在开标后规定的投标有效期内撤回投标或中标后拒绝签订合同，则按照国家相关法律法规受到相应处罚。</w:t>
      </w:r>
      <w:r/>
    </w:p>
    <w:p>
      <w:pPr>
        <w:pStyle w:val="846"/>
        <w:ind w:firstLine="480"/>
        <w:spacing w:beforeAutospacing="0" w:afterAutospacing="0" w:line="0" w:lineRule="atLeast"/>
        <w:rPr>
          <w:highlight w:val="none"/>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.同意向贵方提供贵方可能另外要求的与投标有关的任何证据或资料，并保证我方已提供和将要提供的文件是真实的、准确的。</w:t>
      </w:r>
      <w:r/>
    </w:p>
    <w:p>
      <w:pPr>
        <w:pStyle w:val="846"/>
        <w:ind w:firstLine="480"/>
        <w:spacing w:beforeAutospacing="0" w:afterAutospacing="0" w:line="0" w:lineRule="atLeast"/>
        <w:rPr>
          <w:highlight w:val="none"/>
        </w:rPr>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.一旦我方中标,我方将根据招标文件的规定，严格履行合同的责任和义务,并保证在招标文件规定的时间完成项目，交付买方验收、使用。</w:t>
      </w:r>
      <w:r/>
    </w:p>
    <w:p>
      <w:pPr>
        <w:pStyle w:val="846"/>
        <w:ind w:left="425"/>
        <w:spacing w:beforeAutospacing="0" w:afterAutospacing="0" w:line="0" w:lineRule="atLeast"/>
        <w:rPr>
          <w:highlight w:val="none"/>
        </w:rPr>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.与本投标有关的正式通讯地址为：</w:t>
      </w:r>
      <w:r/>
    </w:p>
    <w:p>
      <w:pPr>
        <w:pStyle w:val="84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84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84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84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84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84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84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846"/>
        <w:ind w:firstLine="240"/>
        <w:jc w:val="center"/>
        <w:spacing w:beforeAutospacing="0" w:afterAutospacing="0" w:line="0" w:lineRule="atLeast"/>
        <w:rPr>
          <w:highlight w:val="none"/>
        </w:rPr>
      </w:pPr>
      <w:r>
        <w:rPr>
          <w:highlight w:val="none"/>
        </w:rPr>
        <w:t xml:space="preserve"> </w:t>
      </w:r>
      <w:r/>
    </w:p>
    <w:p>
      <w:pPr>
        <w:pStyle w:val="846"/>
        <w:ind w:firstLine="240"/>
        <w:jc w:val="center"/>
        <w:spacing w:beforeAutospacing="0" w:afterAutospacing="0" w:line="0" w:lineRule="atLeast"/>
        <w:rPr>
          <w:highlight w:val="none"/>
        </w:rPr>
      </w:pPr>
      <w:r>
        <w:rPr>
          <w:highlight w:val="none"/>
        </w:rPr>
        <w:t xml:space="preserve"> </w:t>
      </w:r>
      <w:r/>
    </w:p>
    <w:p>
      <w:pPr>
        <w:pStyle w:val="846"/>
        <w:ind w:firstLine="240"/>
        <w:jc w:val="center"/>
        <w:spacing w:beforeAutospacing="0" w:afterAutospacing="0" w:line="0" w:lineRule="atLeast"/>
        <w:rPr>
          <w:highlight w:val="none"/>
        </w:rPr>
      </w:pPr>
      <w:r>
        <w:rPr>
          <w:highlight w:val="none"/>
        </w:rPr>
        <w:t xml:space="preserve"> </w:t>
      </w:r>
      <w:r/>
    </w:p>
    <w:p>
      <w:pPr>
        <w:pStyle w:val="846"/>
        <w:ind w:firstLine="240"/>
        <w:jc w:val="center"/>
        <w:spacing w:beforeAutospacing="0" w:afterAutospacing="0" w:line="0" w:lineRule="atLeast"/>
        <w:rPr>
          <w:highlight w:val="none"/>
        </w:rPr>
      </w:pPr>
      <w:r>
        <w:rPr>
          <w:highlight w:val="none"/>
        </w:rPr>
        <w:t xml:space="preserve"> </w:t>
      </w:r>
      <w:r/>
    </w:p>
    <w:p>
      <w:pPr>
        <w:pStyle w:val="846"/>
        <w:ind w:firstLine="240"/>
        <w:jc w:val="center"/>
        <w:spacing w:beforeAutospacing="0" w:afterAutospacing="0" w:line="0" w:lineRule="atLeast"/>
        <w:rPr>
          <w:highlight w:val="none"/>
        </w:rPr>
      </w:pPr>
      <w:r>
        <w:rPr>
          <w:highlight w:val="none"/>
        </w:rPr>
      </w:r>
      <w:r/>
    </w:p>
    <w:p>
      <w:pPr>
        <w:pStyle w:val="846"/>
        <w:ind w:firstLine="240"/>
        <w:jc w:val="center"/>
        <w:spacing w:beforeAutospacing="0" w:afterAutospacing="0" w:line="0" w:lineRule="atLeast"/>
        <w:rPr>
          <w:highlight w:val="none"/>
        </w:rPr>
      </w:pPr>
      <w:r>
        <w:rPr>
          <w:highlight w:val="none"/>
        </w:rPr>
      </w:r>
      <w:r/>
    </w:p>
    <w:p>
      <w:pPr>
        <w:pStyle w:val="846"/>
        <w:ind w:firstLine="240"/>
        <w:jc w:val="center"/>
        <w:spacing w:beforeAutospacing="0" w:afterAutospacing="0" w:line="0" w:lineRule="atLeast"/>
        <w:rPr>
          <w:highlight w:val="none"/>
        </w:rPr>
      </w:pPr>
      <w:r>
        <w:rPr>
          <w:highlight w:val="none"/>
        </w:rPr>
      </w:r>
      <w:r/>
    </w:p>
    <w:p>
      <w:pPr>
        <w:pStyle w:val="846"/>
        <w:ind w:firstLine="240"/>
        <w:jc w:val="center"/>
        <w:spacing w:beforeAutospacing="0" w:afterAutospacing="0" w:line="0" w:lineRule="atLeast"/>
        <w:rPr>
          <w:highlight w:val="none"/>
        </w:rPr>
      </w:pPr>
      <w:r>
        <w:rPr>
          <w:highlight w:val="none"/>
        </w:rPr>
      </w:r>
      <w:r/>
    </w:p>
    <w:p>
      <w:pPr>
        <w:pStyle w:val="846"/>
        <w:ind w:firstLine="240"/>
        <w:jc w:val="center"/>
        <w:spacing w:beforeAutospacing="0" w:afterAutospacing="0" w:line="0" w:lineRule="atLeast"/>
        <w:rPr>
          <w:highlight w:val="none"/>
        </w:rPr>
      </w:pPr>
      <w:r>
        <w:rPr>
          <w:highlight w:val="none"/>
        </w:rPr>
      </w:r>
      <w:r/>
    </w:p>
    <w:p>
      <w:pPr>
        <w:pStyle w:val="846"/>
        <w:ind w:firstLine="240"/>
        <w:jc w:val="center"/>
        <w:spacing w:beforeAutospacing="0" w:afterAutospacing="0" w:line="0" w:lineRule="atLeast"/>
        <w:rPr>
          <w:highlight w:val="none"/>
        </w:rPr>
      </w:pPr>
      <w:r>
        <w:rPr>
          <w:highlight w:val="none"/>
        </w:rPr>
      </w:r>
      <w:r/>
    </w:p>
    <w:p>
      <w:pPr>
        <w:pStyle w:val="846"/>
        <w:jc w:val="both"/>
        <w:spacing w:beforeAutospacing="0" w:afterAutospacing="0" w:line="0" w:lineRule="atLeast"/>
        <w:rPr>
          <w:highlight w:val="none"/>
        </w:rPr>
      </w:pPr>
      <w:r>
        <w:rPr>
          <w:highlight w:val="none"/>
        </w:rPr>
        <w:t xml:space="preserve"> </w:t>
      </w:r>
      <w:r/>
    </w:p>
    <w:p>
      <w:pPr>
        <w:pStyle w:val="846"/>
        <w:jc w:val="center"/>
        <w:spacing w:beforeAutospacing="0" w:afterAutospacing="0" w:line="0" w:lineRule="atLeast"/>
        <w:rPr>
          <w:rFonts w:hint="eastAsia" w:eastAsia="黑体"/>
          <w:color w:val="auto"/>
          <w:highlight w:val="none"/>
          <w:lang w:eastAsia="zh-CN"/>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eastAsia="zh-CN"/>
        </w:rPr>
        <w:t xml:space="preserve">（</w:t>
      </w:r>
      <w:r>
        <w:rPr>
          <w:rFonts w:hint="eastAsia" w:ascii="黑体" w:hAnsi="宋体" w:eastAsia="黑体" w:cs="黑体"/>
          <w:b/>
          <w:color w:val="auto"/>
          <w:sz w:val="32"/>
          <w:szCs w:val="32"/>
          <w:highlight w:val="none"/>
          <w:lang w:val="en-US" w:eastAsia="zh-CN"/>
        </w:rPr>
        <w:t xml:space="preserve">包件一</w:t>
      </w:r>
      <w:r>
        <w:rPr>
          <w:rFonts w:hint="eastAsia" w:ascii="黑体" w:hAnsi="宋体" w:eastAsia="黑体" w:cs="黑体"/>
          <w:b/>
          <w:color w:val="auto"/>
          <w:sz w:val="32"/>
          <w:szCs w:val="32"/>
          <w:highlight w:val="none"/>
          <w:lang w:eastAsia="zh-CN"/>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lang w:val="en-US" w:eastAsia="zh-CN"/>
        </w:rPr>
        <w:t xml:space="preserve">滨海县</w:t>
      </w:r>
      <w:r>
        <w:rPr>
          <w:rFonts w:hint="eastAsia"/>
          <w:color w:val="auto"/>
          <w:sz w:val="24"/>
          <w:highlight w:val="none"/>
        </w:rPr>
        <w:t xml:space="preserve">政府采购中心组织的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JSZC-320922-JZCG-G2025-0024</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手机存放柜</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电脑</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default"/>
          <w:color w:val="auto"/>
          <w:highlight w:val="none"/>
          <w:lang w:val="en-US" w:eastAsia="zh-CN"/>
        </w:rPr>
      </w:pPr>
      <w:r>
        <w:rPr>
          <w:rFonts w:hint="eastAsia"/>
          <w:color w:val="auto"/>
          <w:highlight w:val="none"/>
          <w:lang w:val="en-US" w:eastAsia="zh-CN"/>
        </w:rPr>
        <w:t xml:space="preserve">3.</w:t>
      </w:r>
      <w:r>
        <w:rPr>
          <w:rFonts w:hint="eastAsia"/>
          <w:color w:val="auto"/>
          <w:highlight w:val="none"/>
          <w:u w:val="single"/>
        </w:rPr>
        <w:t xml:space="preserve">电脑</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4</w:t>
      </w:r>
      <w:r>
        <w:rPr>
          <w:rFonts w:hint="eastAsia"/>
          <w:color w:val="auto"/>
          <w:highlight w:val="none"/>
        </w:rPr>
        <w:t xml:space="preserve">.</w:t>
      </w:r>
      <w:r>
        <w:rPr>
          <w:rFonts w:hint="eastAsia"/>
          <w:color w:val="auto"/>
          <w:highlight w:val="none"/>
          <w:u w:val="single"/>
        </w:rPr>
        <w:t xml:space="preserve">碎纸机</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5</w:t>
      </w:r>
      <w:r>
        <w:rPr>
          <w:rFonts w:hint="eastAsia"/>
          <w:color w:val="auto"/>
          <w:highlight w:val="none"/>
        </w:rPr>
        <w:t xml:space="preserve">.</w:t>
      </w:r>
      <w:r>
        <w:rPr>
          <w:rFonts w:hint="eastAsia"/>
          <w:color w:val="auto"/>
          <w:highlight w:val="none"/>
          <w:u w:val="single"/>
        </w:rPr>
        <w:t xml:space="preserve">打印机</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6</w:t>
      </w:r>
      <w:r>
        <w:rPr>
          <w:rFonts w:hint="eastAsia"/>
          <w:color w:val="auto"/>
          <w:highlight w:val="none"/>
        </w:rPr>
        <w:t xml:space="preserve">.</w:t>
      </w:r>
      <w:r>
        <w:rPr>
          <w:rFonts w:hint="eastAsia"/>
          <w:color w:val="auto"/>
          <w:highlight w:val="none"/>
          <w:u w:val="single"/>
        </w:rPr>
        <w:t xml:space="preserve">打印机</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7</w:t>
      </w:r>
      <w:r>
        <w:rPr>
          <w:rFonts w:hint="eastAsia"/>
          <w:color w:val="auto"/>
          <w:highlight w:val="none"/>
        </w:rPr>
        <w:t xml:space="preserve">.</w:t>
      </w:r>
      <w:r>
        <w:rPr>
          <w:rFonts w:hint="eastAsia"/>
          <w:color w:val="auto"/>
          <w:highlight w:val="none"/>
          <w:u w:val="single"/>
        </w:rPr>
        <w:t xml:space="preserve">扫描仪</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8</w:t>
      </w:r>
      <w:r>
        <w:rPr>
          <w:rFonts w:hint="eastAsia"/>
          <w:color w:val="auto"/>
          <w:highlight w:val="none"/>
        </w:rPr>
        <w:t xml:space="preserve">.</w:t>
      </w:r>
      <w:r>
        <w:rPr>
          <w:rFonts w:hint="eastAsia"/>
          <w:color w:val="auto"/>
          <w:highlight w:val="none"/>
          <w:u w:val="single"/>
        </w:rPr>
        <w:t xml:space="preserve">人体模型</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9</w:t>
      </w:r>
      <w:r>
        <w:rPr>
          <w:rFonts w:hint="eastAsia"/>
          <w:color w:val="auto"/>
          <w:highlight w:val="none"/>
        </w:rPr>
        <w:t xml:space="preserve">.</w:t>
      </w:r>
      <w:r>
        <w:rPr>
          <w:rFonts w:hint="eastAsia"/>
          <w:color w:val="auto"/>
          <w:highlight w:val="none"/>
          <w:u w:val="single"/>
        </w:rPr>
        <w:t xml:space="preserve">人体模型</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10</w:t>
      </w:r>
      <w:r>
        <w:rPr>
          <w:rFonts w:hint="eastAsia"/>
          <w:color w:val="auto"/>
          <w:highlight w:val="none"/>
        </w:rPr>
        <w:t xml:space="preserve">.</w:t>
      </w:r>
      <w:r>
        <w:rPr>
          <w:rFonts w:hint="eastAsia"/>
          <w:color w:val="auto"/>
          <w:highlight w:val="none"/>
          <w:u w:val="single"/>
        </w:rPr>
        <w:t xml:space="preserve">伤情模拟套装</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11</w:t>
      </w:r>
      <w:r>
        <w:rPr>
          <w:rFonts w:hint="eastAsia"/>
          <w:color w:val="auto"/>
          <w:highlight w:val="none"/>
        </w:rPr>
        <w:t xml:space="preserve">.</w:t>
      </w:r>
      <w:r>
        <w:rPr>
          <w:rFonts w:hint="eastAsia"/>
          <w:color w:val="auto"/>
          <w:highlight w:val="none"/>
          <w:u w:val="single"/>
        </w:rPr>
        <w:t xml:space="preserve">简易手术套装</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12</w:t>
      </w:r>
      <w:r>
        <w:rPr>
          <w:rFonts w:hint="eastAsia"/>
          <w:color w:val="auto"/>
          <w:highlight w:val="none"/>
        </w:rPr>
        <w:t xml:space="preserve">.</w:t>
      </w:r>
      <w:r>
        <w:rPr>
          <w:rFonts w:hint="eastAsia"/>
          <w:color w:val="auto"/>
          <w:highlight w:val="none"/>
          <w:u w:val="single"/>
        </w:rPr>
        <w:t xml:space="preserve">担架床</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13</w:t>
      </w:r>
      <w:r>
        <w:rPr>
          <w:rFonts w:hint="eastAsia"/>
          <w:color w:val="auto"/>
          <w:highlight w:val="none"/>
        </w:rPr>
        <w:t xml:space="preserve">.</w:t>
      </w:r>
      <w:r>
        <w:rPr>
          <w:rFonts w:hint="eastAsia"/>
          <w:color w:val="auto"/>
          <w:highlight w:val="none"/>
          <w:u w:val="single"/>
        </w:rPr>
        <w:t xml:space="preserve">图板</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14</w:t>
      </w:r>
      <w:r>
        <w:rPr>
          <w:rFonts w:hint="eastAsia"/>
          <w:color w:val="auto"/>
          <w:highlight w:val="none"/>
        </w:rPr>
        <w:t xml:space="preserve">.</w:t>
      </w:r>
      <w:r>
        <w:rPr>
          <w:rFonts w:hint="eastAsia"/>
          <w:color w:val="auto"/>
          <w:highlight w:val="none"/>
          <w:u w:val="single"/>
        </w:rPr>
        <w:t xml:space="preserve">展板架</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15</w:t>
      </w:r>
      <w:r>
        <w:rPr>
          <w:rFonts w:hint="eastAsia"/>
          <w:color w:val="auto"/>
          <w:highlight w:val="none"/>
        </w:rPr>
        <w:t xml:space="preserve">.</w:t>
      </w:r>
      <w:r>
        <w:rPr>
          <w:rFonts w:hint="eastAsia"/>
          <w:color w:val="auto"/>
          <w:highlight w:val="none"/>
          <w:u w:val="single"/>
        </w:rPr>
        <w:t xml:space="preserve">打孔机</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16</w:t>
      </w:r>
      <w:r>
        <w:rPr>
          <w:rFonts w:hint="eastAsia"/>
          <w:color w:val="auto"/>
          <w:highlight w:val="none"/>
        </w:rPr>
        <w:t xml:space="preserve">.</w:t>
      </w:r>
      <w:r>
        <w:rPr>
          <w:rFonts w:hint="eastAsia"/>
          <w:color w:val="auto"/>
          <w:highlight w:val="none"/>
          <w:u w:val="single"/>
        </w:rPr>
        <w:t xml:space="preserve">笔记本电脑</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17</w:t>
      </w:r>
      <w:r>
        <w:rPr>
          <w:rFonts w:hint="eastAsia"/>
          <w:color w:val="auto"/>
          <w:highlight w:val="none"/>
        </w:rPr>
        <w:t xml:space="preserve">.</w:t>
      </w:r>
      <w:r>
        <w:rPr>
          <w:rFonts w:hint="eastAsia"/>
          <w:color w:val="auto"/>
          <w:highlight w:val="none"/>
          <w:u w:val="single"/>
        </w:rPr>
        <w:t xml:space="preserve">电视</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18</w:t>
      </w:r>
      <w:r>
        <w:rPr>
          <w:rFonts w:hint="eastAsia"/>
          <w:color w:val="auto"/>
          <w:highlight w:val="none"/>
        </w:rPr>
        <w:t xml:space="preserve">.</w:t>
      </w:r>
      <w:r>
        <w:rPr>
          <w:rFonts w:hint="eastAsia"/>
          <w:color w:val="auto"/>
          <w:highlight w:val="none"/>
          <w:u w:val="single"/>
        </w:rPr>
        <w:t xml:space="preserve">维修工具车</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19</w:t>
      </w:r>
      <w:r>
        <w:rPr>
          <w:rFonts w:hint="eastAsia"/>
          <w:color w:val="auto"/>
          <w:highlight w:val="none"/>
        </w:rPr>
        <w:t xml:space="preserve">.</w:t>
      </w:r>
      <w:r>
        <w:rPr>
          <w:rFonts w:hint="eastAsia"/>
          <w:color w:val="auto"/>
          <w:highlight w:val="none"/>
          <w:u w:val="single"/>
        </w:rPr>
        <w:t xml:space="preserve">擦鞋机</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20</w:t>
      </w:r>
      <w:r>
        <w:rPr>
          <w:rFonts w:hint="eastAsia"/>
          <w:color w:val="auto"/>
          <w:highlight w:val="none"/>
        </w:rPr>
        <w:t xml:space="preserve">.</w:t>
      </w:r>
      <w:r>
        <w:rPr>
          <w:rFonts w:hint="eastAsia"/>
          <w:color w:val="auto"/>
          <w:highlight w:val="none"/>
          <w:u w:val="single"/>
        </w:rPr>
        <w:t xml:space="preserve">热水壶</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21</w:t>
      </w:r>
      <w:r>
        <w:rPr>
          <w:rFonts w:hint="eastAsia"/>
          <w:color w:val="auto"/>
          <w:highlight w:val="none"/>
        </w:rPr>
        <w:t xml:space="preserve">.</w:t>
      </w:r>
      <w:r>
        <w:rPr>
          <w:rFonts w:hint="eastAsia"/>
          <w:color w:val="auto"/>
          <w:highlight w:val="none"/>
          <w:u w:val="single"/>
        </w:rPr>
        <w:t xml:space="preserve">焊台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22</w:t>
      </w:r>
      <w:r>
        <w:rPr>
          <w:rFonts w:hint="eastAsia"/>
          <w:color w:val="auto"/>
          <w:highlight w:val="none"/>
        </w:rPr>
        <w:t xml:space="preserve">.</w:t>
      </w:r>
      <w:r>
        <w:rPr>
          <w:rFonts w:hint="eastAsia"/>
          <w:color w:val="auto"/>
          <w:highlight w:val="none"/>
          <w:u w:val="single"/>
        </w:rPr>
        <w:t xml:space="preserve">维修工具</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lang w:val="en-US" w:eastAsia="zh-CN"/>
        </w:rPr>
        <w:t xml:space="preserve">3</w:t>
      </w:r>
      <w:r>
        <w:rPr>
          <w:rFonts w:hint="eastAsia"/>
          <w:color w:val="auto"/>
          <w:highlight w:val="none"/>
        </w:rPr>
        <w:t xml:space="preserve">.</w:t>
      </w:r>
      <w:r>
        <w:rPr>
          <w:rFonts w:hint="eastAsia"/>
          <w:color w:val="auto"/>
          <w:highlight w:val="none"/>
          <w:u w:val="single"/>
        </w:rPr>
        <w:t xml:space="preserve">万用表</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lang w:val="en-US" w:eastAsia="zh-CN"/>
        </w:rPr>
        <w:t xml:space="preserve">4</w:t>
      </w:r>
      <w:r>
        <w:rPr>
          <w:rFonts w:hint="eastAsia"/>
          <w:color w:val="auto"/>
          <w:highlight w:val="none"/>
        </w:rPr>
        <w:t xml:space="preserve">.</w:t>
      </w:r>
      <w:r>
        <w:rPr>
          <w:rFonts w:hint="eastAsia"/>
          <w:color w:val="auto"/>
          <w:highlight w:val="none"/>
          <w:u w:val="single"/>
        </w:rPr>
        <w:t xml:space="preserve">烧水壶</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lang w:val="en-US" w:eastAsia="zh-CN"/>
        </w:rPr>
        <w:t xml:space="preserve">5</w:t>
      </w:r>
      <w:r>
        <w:rPr>
          <w:rFonts w:hint="eastAsia"/>
          <w:color w:val="auto"/>
          <w:highlight w:val="none"/>
        </w:rPr>
        <w:t xml:space="preserve">.</w:t>
      </w:r>
      <w:r>
        <w:rPr>
          <w:rFonts w:hint="eastAsia"/>
          <w:color w:val="auto"/>
          <w:highlight w:val="none"/>
          <w:u w:val="single"/>
        </w:rPr>
        <w:t xml:space="preserve">运输托盘</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lang w:val="en-US" w:eastAsia="zh-CN"/>
        </w:rPr>
        <w:t xml:space="preserve">6</w:t>
      </w:r>
      <w:r>
        <w:rPr>
          <w:rFonts w:hint="eastAsia"/>
          <w:color w:val="auto"/>
          <w:highlight w:val="none"/>
        </w:rPr>
        <w:t xml:space="preserve">.</w:t>
      </w:r>
      <w:r>
        <w:rPr>
          <w:rFonts w:hint="eastAsia"/>
          <w:color w:val="auto"/>
          <w:highlight w:val="none"/>
          <w:u w:val="single"/>
        </w:rPr>
        <w:t xml:space="preserve">吊机</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lang w:val="en-US" w:eastAsia="zh-CN"/>
        </w:rPr>
        <w:t xml:space="preserve">7</w:t>
      </w:r>
      <w:r>
        <w:rPr>
          <w:rFonts w:hint="eastAsia"/>
          <w:color w:val="auto"/>
          <w:highlight w:val="none"/>
        </w:rPr>
        <w:t xml:space="preserve">.</w:t>
      </w:r>
      <w:r>
        <w:rPr>
          <w:rFonts w:hint="eastAsia"/>
          <w:color w:val="auto"/>
          <w:highlight w:val="none"/>
          <w:u w:val="single"/>
        </w:rPr>
        <w:t xml:space="preserve">仪容风纪镜</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28</w:t>
      </w:r>
      <w:r>
        <w:rPr>
          <w:rFonts w:hint="eastAsia"/>
          <w:color w:val="auto"/>
          <w:highlight w:val="none"/>
        </w:rPr>
        <w:t xml:space="preserve">.</w:t>
      </w:r>
      <w:r>
        <w:rPr>
          <w:rFonts w:hint="eastAsia"/>
          <w:color w:val="auto"/>
          <w:highlight w:val="none"/>
          <w:u w:val="single"/>
        </w:rPr>
        <w:t xml:space="preserve">垃圾箱</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29</w:t>
      </w:r>
      <w:r>
        <w:rPr>
          <w:rFonts w:hint="eastAsia"/>
          <w:color w:val="auto"/>
          <w:highlight w:val="none"/>
        </w:rPr>
        <w:t xml:space="preserve">.</w:t>
      </w:r>
      <w:r>
        <w:rPr>
          <w:rFonts w:hint="eastAsia"/>
          <w:color w:val="auto"/>
          <w:highlight w:val="none"/>
          <w:u w:val="single"/>
        </w:rPr>
        <w:t xml:space="preserve">办公桌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30</w:t>
      </w:r>
      <w:r>
        <w:rPr>
          <w:rFonts w:hint="eastAsia"/>
          <w:color w:val="auto"/>
          <w:highlight w:val="none"/>
        </w:rPr>
        <w:t xml:space="preserve">.</w:t>
      </w:r>
      <w:r>
        <w:rPr>
          <w:rFonts w:hint="eastAsia"/>
          <w:color w:val="auto"/>
          <w:highlight w:val="none"/>
          <w:u w:val="single"/>
        </w:rPr>
        <w:t xml:space="preserve">办公桌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31</w:t>
      </w:r>
      <w:r>
        <w:rPr>
          <w:rFonts w:hint="eastAsia"/>
          <w:color w:val="auto"/>
          <w:highlight w:val="none"/>
        </w:rPr>
        <w:t xml:space="preserve">.</w:t>
      </w:r>
      <w:r>
        <w:rPr>
          <w:rFonts w:hint="eastAsia"/>
          <w:color w:val="auto"/>
          <w:highlight w:val="none"/>
          <w:u w:val="single"/>
        </w:rPr>
        <w:t xml:space="preserve">椅子</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u w:val="single"/>
        </w:rPr>
      </w:pPr>
      <w:r>
        <w:rPr>
          <w:rFonts w:hint="eastAsia"/>
          <w:color w:val="auto"/>
          <w:highlight w:val="none"/>
          <w:lang w:val="en-US" w:eastAsia="zh-CN"/>
        </w:rPr>
        <w:t xml:space="preserve">32</w:t>
      </w:r>
      <w:r>
        <w:rPr>
          <w:rFonts w:hint="eastAsia"/>
          <w:color w:val="auto"/>
          <w:highlight w:val="none"/>
        </w:rPr>
        <w:t xml:space="preserve">.</w:t>
      </w:r>
      <w:r>
        <w:rPr>
          <w:rFonts w:hint="eastAsia"/>
          <w:color w:val="auto"/>
          <w:highlight w:val="none"/>
          <w:u w:val="single"/>
        </w:rPr>
        <w:t xml:space="preserve">椅子</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u w:val="single"/>
        </w:rPr>
      </w:pPr>
      <w:r>
        <w:rPr>
          <w:rFonts w:hint="eastAsia"/>
          <w:color w:val="auto"/>
          <w:highlight w:val="none"/>
          <w:lang w:val="en-US" w:eastAsia="zh-CN"/>
        </w:rPr>
        <w:t xml:space="preserve">33</w:t>
      </w:r>
      <w:r>
        <w:rPr>
          <w:rFonts w:hint="eastAsia"/>
          <w:color w:val="auto"/>
          <w:highlight w:val="none"/>
        </w:rPr>
        <w:t xml:space="preserve">.</w:t>
      </w:r>
      <w:r>
        <w:rPr>
          <w:rFonts w:hint="eastAsia"/>
          <w:color w:val="auto"/>
          <w:highlight w:val="none"/>
          <w:u w:val="single"/>
        </w:rPr>
        <w:t xml:space="preserve">椅子</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34</w:t>
      </w:r>
      <w:r>
        <w:rPr>
          <w:rFonts w:hint="eastAsia"/>
          <w:color w:val="auto"/>
          <w:highlight w:val="none"/>
        </w:rPr>
        <w:t xml:space="preserve">.</w:t>
      </w:r>
      <w:r>
        <w:rPr>
          <w:rFonts w:hint="eastAsia"/>
          <w:color w:val="auto"/>
          <w:highlight w:val="none"/>
          <w:u w:val="single"/>
        </w:rPr>
        <w:t xml:space="preserve">椅子</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35</w:t>
      </w:r>
      <w:r>
        <w:rPr>
          <w:rFonts w:hint="eastAsia"/>
          <w:color w:val="auto"/>
          <w:highlight w:val="none"/>
        </w:rPr>
        <w:t xml:space="preserve">.</w:t>
      </w:r>
      <w:r>
        <w:rPr>
          <w:rFonts w:hint="eastAsia"/>
          <w:color w:val="auto"/>
          <w:highlight w:val="none"/>
          <w:u w:val="single"/>
        </w:rPr>
        <w:t xml:space="preserve">重型盾牌货架</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36</w:t>
      </w:r>
      <w:r>
        <w:rPr>
          <w:rFonts w:hint="eastAsia"/>
          <w:color w:val="auto"/>
          <w:highlight w:val="none"/>
        </w:rPr>
        <w:t xml:space="preserve">.</w:t>
      </w:r>
      <w:r>
        <w:rPr>
          <w:rFonts w:hint="eastAsia"/>
          <w:color w:val="auto"/>
          <w:highlight w:val="none"/>
          <w:u w:val="single"/>
        </w:rPr>
        <w:t xml:space="preserve">重型铁锹货架</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37</w:t>
      </w:r>
      <w:r>
        <w:rPr>
          <w:rFonts w:hint="eastAsia"/>
          <w:color w:val="auto"/>
          <w:highlight w:val="none"/>
        </w:rPr>
        <w:t xml:space="preserve">.</w:t>
      </w:r>
      <w:r>
        <w:rPr>
          <w:rFonts w:hint="eastAsia"/>
          <w:color w:val="auto"/>
          <w:highlight w:val="none"/>
          <w:u w:val="single"/>
        </w:rPr>
        <w:t xml:space="preserve">移动网箱</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38</w:t>
      </w:r>
      <w:r>
        <w:rPr>
          <w:rFonts w:hint="eastAsia"/>
          <w:color w:val="auto"/>
          <w:highlight w:val="none"/>
        </w:rPr>
        <w:t xml:space="preserve">.</w:t>
      </w:r>
      <w:r>
        <w:rPr>
          <w:rFonts w:hint="eastAsia"/>
          <w:color w:val="auto"/>
          <w:highlight w:val="none"/>
          <w:u w:val="single"/>
        </w:rPr>
        <w:t xml:space="preserve">移动网箱</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39</w:t>
      </w:r>
      <w:r>
        <w:rPr>
          <w:rFonts w:hint="eastAsia"/>
          <w:color w:val="auto"/>
          <w:highlight w:val="none"/>
        </w:rPr>
        <w:t xml:space="preserve">.</w:t>
      </w:r>
      <w:r>
        <w:rPr>
          <w:rFonts w:hint="eastAsia"/>
          <w:color w:val="auto"/>
          <w:highlight w:val="none"/>
          <w:u w:val="single"/>
        </w:rPr>
        <w:t xml:space="preserve">移动网箱</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40</w:t>
      </w:r>
      <w:r>
        <w:rPr>
          <w:rFonts w:hint="eastAsia"/>
          <w:color w:val="auto"/>
          <w:highlight w:val="none"/>
        </w:rPr>
        <w:t xml:space="preserve">.</w:t>
      </w:r>
      <w:r>
        <w:rPr>
          <w:rFonts w:hint="eastAsia"/>
          <w:color w:val="auto"/>
          <w:highlight w:val="none"/>
          <w:u w:val="single"/>
        </w:rPr>
        <w:t xml:space="preserve">移动托盘</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41</w:t>
      </w:r>
      <w:r>
        <w:rPr>
          <w:rFonts w:hint="eastAsia"/>
          <w:color w:val="auto"/>
          <w:highlight w:val="none"/>
        </w:rPr>
        <w:t xml:space="preserve">.</w:t>
      </w:r>
      <w:r>
        <w:rPr>
          <w:rFonts w:hint="eastAsia"/>
          <w:color w:val="auto"/>
          <w:highlight w:val="none"/>
          <w:u w:val="single"/>
        </w:rPr>
        <w:t xml:space="preserve">滚塑箱</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42</w:t>
      </w:r>
      <w:r>
        <w:rPr>
          <w:rFonts w:hint="eastAsia"/>
          <w:color w:val="auto"/>
          <w:highlight w:val="none"/>
        </w:rPr>
        <w:t xml:space="preserve">.</w:t>
      </w:r>
      <w:r>
        <w:rPr>
          <w:rFonts w:hint="eastAsia"/>
          <w:color w:val="auto"/>
          <w:highlight w:val="none"/>
          <w:u w:val="single"/>
        </w:rPr>
        <w:t xml:space="preserve">滚塑箱</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43</w:t>
      </w:r>
      <w:r>
        <w:rPr>
          <w:rFonts w:hint="eastAsia"/>
          <w:color w:val="auto"/>
          <w:highlight w:val="none"/>
        </w:rPr>
        <w:t xml:space="preserve">.</w:t>
      </w:r>
      <w:r>
        <w:rPr>
          <w:rFonts w:hint="eastAsia"/>
          <w:color w:val="auto"/>
          <w:highlight w:val="none"/>
          <w:u w:val="single"/>
        </w:rPr>
        <w:t xml:space="preserve">滚塑箱</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44</w:t>
      </w:r>
      <w:r>
        <w:rPr>
          <w:rFonts w:hint="eastAsia"/>
          <w:color w:val="auto"/>
          <w:highlight w:val="none"/>
        </w:rPr>
        <w:t xml:space="preserve">.</w:t>
      </w:r>
      <w:r>
        <w:rPr>
          <w:rFonts w:hint="eastAsia"/>
          <w:color w:val="auto"/>
          <w:highlight w:val="none"/>
          <w:u w:val="single"/>
        </w:rPr>
        <w:t xml:space="preserve">滚塑箱</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45</w:t>
      </w:r>
      <w:r>
        <w:rPr>
          <w:rFonts w:hint="eastAsia"/>
          <w:color w:val="auto"/>
          <w:highlight w:val="none"/>
        </w:rPr>
        <w:t xml:space="preserve">.</w:t>
      </w:r>
      <w:r>
        <w:rPr>
          <w:rFonts w:hint="eastAsia"/>
          <w:color w:val="auto"/>
          <w:highlight w:val="none"/>
          <w:u w:val="single"/>
        </w:rPr>
        <w:t xml:space="preserve">装具柜</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46</w:t>
      </w:r>
      <w:r>
        <w:rPr>
          <w:rFonts w:hint="eastAsia"/>
          <w:color w:val="auto"/>
          <w:highlight w:val="none"/>
        </w:rPr>
        <w:t xml:space="preserve">.</w:t>
      </w:r>
      <w:r>
        <w:rPr>
          <w:rFonts w:hint="eastAsia"/>
          <w:color w:val="auto"/>
          <w:highlight w:val="none"/>
          <w:u w:val="single"/>
        </w:rPr>
        <w:t xml:space="preserve">货架</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47</w:t>
      </w:r>
      <w:r>
        <w:rPr>
          <w:rFonts w:hint="eastAsia"/>
          <w:color w:val="auto"/>
          <w:highlight w:val="none"/>
        </w:rPr>
        <w:t xml:space="preserve">.</w:t>
      </w:r>
      <w:r>
        <w:rPr>
          <w:rFonts w:hint="eastAsia"/>
          <w:color w:val="auto"/>
          <w:highlight w:val="none"/>
          <w:u w:val="single"/>
        </w:rPr>
        <w:t xml:space="preserve">会议桌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48</w:t>
      </w:r>
      <w:r>
        <w:rPr>
          <w:rFonts w:hint="eastAsia"/>
          <w:color w:val="auto"/>
          <w:highlight w:val="none"/>
        </w:rPr>
        <w:t xml:space="preserve">.</w:t>
      </w:r>
      <w:r>
        <w:rPr>
          <w:rFonts w:hint="eastAsia"/>
          <w:color w:val="auto"/>
          <w:highlight w:val="none"/>
          <w:u w:val="single"/>
        </w:rPr>
        <w:t xml:space="preserve">会议桌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49</w:t>
      </w:r>
      <w:r>
        <w:rPr>
          <w:rFonts w:hint="eastAsia"/>
          <w:color w:val="auto"/>
          <w:highlight w:val="none"/>
        </w:rPr>
        <w:t xml:space="preserve">.</w:t>
      </w:r>
      <w:r>
        <w:rPr>
          <w:rFonts w:hint="eastAsia"/>
          <w:color w:val="auto"/>
          <w:highlight w:val="none"/>
          <w:u w:val="single"/>
        </w:rPr>
        <w:t xml:space="preserve">会议桌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50</w:t>
      </w:r>
      <w:r>
        <w:rPr>
          <w:rFonts w:hint="eastAsia"/>
          <w:color w:val="auto"/>
          <w:highlight w:val="none"/>
        </w:rPr>
        <w:t xml:space="preserve">.</w:t>
      </w:r>
      <w:r>
        <w:rPr>
          <w:rFonts w:hint="eastAsia"/>
          <w:color w:val="auto"/>
          <w:highlight w:val="none"/>
          <w:u w:val="single"/>
        </w:rPr>
        <w:t xml:space="preserve">会议桌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51</w:t>
      </w:r>
      <w:r>
        <w:rPr>
          <w:rFonts w:hint="eastAsia"/>
          <w:color w:val="auto"/>
          <w:highlight w:val="none"/>
        </w:rPr>
        <w:t xml:space="preserve">.</w:t>
      </w:r>
      <w:r>
        <w:rPr>
          <w:rFonts w:hint="eastAsia"/>
          <w:color w:val="auto"/>
          <w:highlight w:val="none"/>
          <w:u w:val="single"/>
        </w:rPr>
        <w:t xml:space="preserve">会议椅、办公椅</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52</w:t>
      </w:r>
      <w:r>
        <w:rPr>
          <w:rFonts w:hint="eastAsia"/>
          <w:color w:val="auto"/>
          <w:highlight w:val="none"/>
        </w:rPr>
        <w:t xml:space="preserve">.</w:t>
      </w:r>
      <w:r>
        <w:rPr>
          <w:rFonts w:hint="eastAsia"/>
          <w:color w:val="auto"/>
          <w:highlight w:val="none"/>
          <w:u w:val="single"/>
        </w:rPr>
        <w:t xml:space="preserve">会议椅、办公椅</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53</w:t>
      </w:r>
      <w:r>
        <w:rPr>
          <w:rFonts w:hint="eastAsia"/>
          <w:color w:val="auto"/>
          <w:highlight w:val="none"/>
        </w:rPr>
        <w:t xml:space="preserve">.</w:t>
      </w:r>
      <w:r>
        <w:rPr>
          <w:rFonts w:hint="eastAsia"/>
          <w:color w:val="auto"/>
          <w:highlight w:val="none"/>
          <w:u w:val="single"/>
        </w:rPr>
        <w:t xml:space="preserve">会议椅、办公椅</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54</w:t>
      </w:r>
      <w:r>
        <w:rPr>
          <w:rFonts w:hint="eastAsia"/>
          <w:color w:val="auto"/>
          <w:highlight w:val="none"/>
        </w:rPr>
        <w:t xml:space="preserve">.</w:t>
      </w:r>
      <w:r>
        <w:rPr>
          <w:rFonts w:hint="eastAsia"/>
          <w:color w:val="auto"/>
          <w:highlight w:val="none"/>
          <w:u w:val="single"/>
        </w:rPr>
        <w:t xml:space="preserve">资料柜</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55</w:t>
      </w:r>
      <w:r>
        <w:rPr>
          <w:rFonts w:hint="eastAsia"/>
          <w:color w:val="auto"/>
          <w:highlight w:val="none"/>
        </w:rPr>
        <w:t xml:space="preserve">.</w:t>
      </w:r>
      <w:r>
        <w:rPr>
          <w:rFonts w:hint="eastAsia"/>
          <w:color w:val="auto"/>
          <w:highlight w:val="none"/>
          <w:u w:val="single"/>
        </w:rPr>
        <w:t xml:space="preserve">资料柜</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56</w:t>
      </w:r>
      <w:r>
        <w:rPr>
          <w:rFonts w:hint="eastAsia"/>
          <w:color w:val="auto"/>
          <w:highlight w:val="none"/>
        </w:rPr>
        <w:t xml:space="preserve">.</w:t>
      </w:r>
      <w:r>
        <w:rPr>
          <w:rFonts w:hint="eastAsia"/>
          <w:color w:val="auto"/>
          <w:highlight w:val="none"/>
          <w:u w:val="single"/>
        </w:rPr>
        <w:t xml:space="preserve">主席台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57</w:t>
      </w:r>
      <w:r>
        <w:rPr>
          <w:rFonts w:hint="eastAsia"/>
          <w:color w:val="auto"/>
          <w:highlight w:val="none"/>
        </w:rPr>
        <w:t xml:space="preserve">.</w:t>
      </w:r>
      <w:r>
        <w:rPr>
          <w:rFonts w:hint="eastAsia"/>
          <w:color w:val="auto"/>
          <w:highlight w:val="none"/>
          <w:u w:val="single"/>
        </w:rPr>
        <w:t xml:space="preserve">主席台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58</w:t>
      </w:r>
      <w:r>
        <w:rPr>
          <w:rFonts w:hint="eastAsia"/>
          <w:color w:val="auto"/>
          <w:highlight w:val="none"/>
        </w:rPr>
        <w:t xml:space="preserve">.</w:t>
      </w:r>
      <w:r>
        <w:rPr>
          <w:rFonts w:hint="eastAsia"/>
          <w:color w:val="auto"/>
          <w:highlight w:val="none"/>
          <w:u w:val="single"/>
        </w:rPr>
        <w:t xml:space="preserve">主席台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59</w:t>
      </w:r>
      <w:r>
        <w:rPr>
          <w:rFonts w:hint="eastAsia"/>
          <w:color w:val="auto"/>
          <w:highlight w:val="none"/>
        </w:rPr>
        <w:t xml:space="preserve">.</w:t>
      </w:r>
      <w:r>
        <w:rPr>
          <w:rFonts w:hint="eastAsia"/>
          <w:color w:val="auto"/>
          <w:highlight w:val="none"/>
          <w:u w:val="single"/>
        </w:rPr>
        <w:t xml:space="preserve">会议条桌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60</w:t>
      </w:r>
      <w:r>
        <w:rPr>
          <w:rFonts w:hint="eastAsia"/>
          <w:color w:val="auto"/>
          <w:highlight w:val="none"/>
        </w:rPr>
        <w:t xml:space="preserve">.</w:t>
      </w:r>
      <w:r>
        <w:rPr>
          <w:rFonts w:hint="eastAsia"/>
          <w:color w:val="auto"/>
          <w:highlight w:val="none"/>
          <w:u w:val="single"/>
        </w:rPr>
        <w:t xml:space="preserve">文件柜</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61</w:t>
      </w:r>
      <w:r>
        <w:rPr>
          <w:rFonts w:hint="eastAsia"/>
          <w:color w:val="auto"/>
          <w:highlight w:val="none"/>
        </w:rPr>
        <w:t xml:space="preserve">.</w:t>
      </w:r>
      <w:r>
        <w:rPr>
          <w:rFonts w:hint="eastAsia"/>
          <w:color w:val="auto"/>
          <w:highlight w:val="none"/>
          <w:u w:val="single"/>
          <w:lang w:val="en-US" w:eastAsia="zh-CN"/>
        </w:rPr>
        <w:t xml:space="preserve">茶水</w:t>
      </w:r>
      <w:r>
        <w:rPr>
          <w:rFonts w:hint="eastAsia"/>
          <w:color w:val="auto"/>
          <w:highlight w:val="none"/>
          <w:u w:val="single"/>
        </w:rPr>
        <w:t xml:space="preserve">柜</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62</w:t>
      </w:r>
      <w:r>
        <w:rPr>
          <w:rFonts w:hint="eastAsia"/>
          <w:color w:val="auto"/>
          <w:highlight w:val="none"/>
        </w:rPr>
        <w:t xml:space="preserve">.</w:t>
      </w:r>
      <w:r>
        <w:rPr>
          <w:rFonts w:hint="eastAsia"/>
          <w:color w:val="auto"/>
          <w:highlight w:val="none"/>
          <w:u w:val="single"/>
        </w:rPr>
        <w:t xml:space="preserve">陶瓷杯</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63</w:t>
      </w:r>
      <w:r>
        <w:rPr>
          <w:rFonts w:hint="eastAsia"/>
          <w:color w:val="auto"/>
          <w:highlight w:val="none"/>
        </w:rPr>
        <w:t xml:space="preserve">.</w:t>
      </w:r>
      <w:r>
        <w:rPr>
          <w:rFonts w:hint="eastAsia"/>
          <w:color w:val="auto"/>
          <w:highlight w:val="none"/>
          <w:u w:val="single"/>
        </w:rPr>
        <w:t xml:space="preserve">条桌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64</w:t>
      </w:r>
      <w:r>
        <w:rPr>
          <w:rFonts w:hint="eastAsia"/>
          <w:color w:val="auto"/>
          <w:highlight w:val="none"/>
        </w:rPr>
        <w:t xml:space="preserve">.</w:t>
      </w:r>
      <w:r>
        <w:rPr>
          <w:rFonts w:hint="eastAsia"/>
          <w:color w:val="auto"/>
          <w:highlight w:val="none"/>
          <w:u w:val="single"/>
        </w:rPr>
        <w:t xml:space="preserve">衣架</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65</w:t>
      </w:r>
      <w:r>
        <w:rPr>
          <w:rFonts w:hint="eastAsia"/>
          <w:color w:val="auto"/>
          <w:highlight w:val="none"/>
        </w:rPr>
        <w:t xml:space="preserve">.</w:t>
      </w:r>
      <w:r>
        <w:rPr>
          <w:rFonts w:hint="eastAsia"/>
          <w:color w:val="auto"/>
          <w:highlight w:val="none"/>
          <w:u w:val="single"/>
        </w:rPr>
        <w:t xml:space="preserve">单张3人位休息凳</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66</w:t>
      </w:r>
      <w:r>
        <w:rPr>
          <w:rFonts w:hint="eastAsia"/>
          <w:color w:val="auto"/>
          <w:highlight w:val="none"/>
        </w:rPr>
        <w:t xml:space="preserve">.</w:t>
      </w:r>
      <w:r>
        <w:rPr>
          <w:rFonts w:hint="eastAsia"/>
          <w:color w:val="auto"/>
          <w:highlight w:val="none"/>
          <w:u w:val="single"/>
        </w:rPr>
        <w:t xml:space="preserve">棋桌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67</w:t>
      </w:r>
      <w:r>
        <w:rPr>
          <w:rFonts w:hint="eastAsia"/>
          <w:color w:val="auto"/>
          <w:highlight w:val="none"/>
        </w:rPr>
        <w:t xml:space="preserve">.</w:t>
      </w:r>
      <w:r>
        <w:rPr>
          <w:rFonts w:hint="eastAsia"/>
          <w:color w:val="auto"/>
          <w:highlight w:val="none"/>
          <w:u w:val="single"/>
        </w:rPr>
        <w:t xml:space="preserve">方桌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68</w:t>
      </w:r>
      <w:r>
        <w:rPr>
          <w:rFonts w:hint="eastAsia"/>
          <w:color w:val="auto"/>
          <w:highlight w:val="none"/>
        </w:rPr>
        <w:t xml:space="preserve">.</w:t>
      </w:r>
      <w:r>
        <w:rPr>
          <w:rFonts w:hint="eastAsia"/>
          <w:color w:val="auto"/>
          <w:highlight w:val="none"/>
          <w:u w:val="single"/>
        </w:rPr>
        <w:t xml:space="preserve">操作台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69</w:t>
      </w:r>
      <w:r>
        <w:rPr>
          <w:rFonts w:hint="eastAsia"/>
          <w:color w:val="auto"/>
          <w:highlight w:val="none"/>
        </w:rPr>
        <w:t xml:space="preserve">.</w:t>
      </w:r>
      <w:r>
        <w:rPr>
          <w:rFonts w:hint="eastAsia"/>
          <w:color w:val="auto"/>
          <w:highlight w:val="none"/>
          <w:u w:val="single"/>
        </w:rPr>
        <w:t xml:space="preserve">接待沙发</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70</w:t>
      </w:r>
      <w:r>
        <w:rPr>
          <w:rFonts w:hint="eastAsia"/>
          <w:color w:val="auto"/>
          <w:highlight w:val="none"/>
        </w:rPr>
        <w:t xml:space="preserve">.</w:t>
      </w:r>
      <w:r>
        <w:rPr>
          <w:rFonts w:hint="eastAsia"/>
          <w:color w:val="auto"/>
          <w:highlight w:val="none"/>
          <w:u w:val="single"/>
        </w:rPr>
        <w:t xml:space="preserve">医疗柜</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71</w:t>
      </w:r>
      <w:r>
        <w:rPr>
          <w:rFonts w:hint="eastAsia"/>
          <w:color w:val="auto"/>
          <w:highlight w:val="none"/>
        </w:rPr>
        <w:t xml:space="preserve">.</w:t>
      </w:r>
      <w:r>
        <w:rPr>
          <w:rFonts w:hint="eastAsia"/>
          <w:color w:val="auto"/>
          <w:highlight w:val="none"/>
          <w:u w:val="single"/>
        </w:rPr>
        <w:t xml:space="preserve">书柜</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72</w:t>
      </w:r>
      <w:r>
        <w:rPr>
          <w:rFonts w:hint="eastAsia"/>
          <w:color w:val="auto"/>
          <w:highlight w:val="none"/>
        </w:rPr>
        <w:t xml:space="preserve">.</w:t>
      </w:r>
      <w:r>
        <w:rPr>
          <w:rFonts w:hint="eastAsia"/>
          <w:color w:val="auto"/>
          <w:highlight w:val="none"/>
          <w:u w:val="single"/>
        </w:rPr>
        <w:t xml:space="preserve">阅览桌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73</w:t>
      </w:r>
      <w:r>
        <w:rPr>
          <w:rFonts w:hint="eastAsia"/>
          <w:color w:val="auto"/>
          <w:highlight w:val="none"/>
        </w:rPr>
        <w:t xml:space="preserve">.</w:t>
      </w:r>
      <w:r>
        <w:rPr>
          <w:rFonts w:hint="eastAsia"/>
          <w:color w:val="auto"/>
          <w:highlight w:val="none"/>
          <w:u w:val="single"/>
        </w:rPr>
        <w:t xml:space="preserve">报刊架</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74</w:t>
      </w:r>
      <w:r>
        <w:rPr>
          <w:rFonts w:hint="eastAsia"/>
          <w:color w:val="auto"/>
          <w:highlight w:val="none"/>
        </w:rPr>
        <w:t xml:space="preserve">.</w:t>
      </w:r>
      <w:r>
        <w:rPr>
          <w:rFonts w:hint="eastAsia"/>
          <w:color w:val="auto"/>
          <w:highlight w:val="none"/>
          <w:u w:val="single"/>
        </w:rPr>
        <w:t xml:space="preserve">棋盘</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75</w:t>
      </w:r>
      <w:r>
        <w:rPr>
          <w:rFonts w:hint="eastAsia"/>
          <w:color w:val="auto"/>
          <w:highlight w:val="none"/>
        </w:rPr>
        <w:t xml:space="preserve">.</w:t>
      </w:r>
      <w:r>
        <w:rPr>
          <w:rFonts w:hint="eastAsia"/>
          <w:color w:val="auto"/>
          <w:highlight w:val="none"/>
          <w:u w:val="single"/>
        </w:rPr>
        <w:t xml:space="preserve">单人商务接待沙发</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76</w:t>
      </w:r>
      <w:r>
        <w:rPr>
          <w:rFonts w:hint="eastAsia"/>
          <w:color w:val="auto"/>
          <w:highlight w:val="none"/>
        </w:rPr>
        <w:t xml:space="preserve">.</w:t>
      </w:r>
      <w:r>
        <w:rPr>
          <w:rFonts w:hint="eastAsia"/>
          <w:color w:val="auto"/>
          <w:highlight w:val="none"/>
          <w:u w:val="single"/>
        </w:rPr>
        <w:t xml:space="preserve">席梦思床垫</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77</w:t>
      </w:r>
      <w:r>
        <w:rPr>
          <w:rFonts w:hint="eastAsia"/>
          <w:color w:val="auto"/>
          <w:highlight w:val="none"/>
        </w:rPr>
        <w:t xml:space="preserve">.</w:t>
      </w:r>
      <w:r>
        <w:rPr>
          <w:rFonts w:hint="eastAsia"/>
          <w:color w:val="auto"/>
          <w:highlight w:val="none"/>
          <w:u w:val="single"/>
        </w:rPr>
        <w:t xml:space="preserve">席梦思床垫</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78</w:t>
      </w:r>
      <w:r>
        <w:rPr>
          <w:rFonts w:hint="eastAsia"/>
          <w:color w:val="auto"/>
          <w:highlight w:val="none"/>
        </w:rPr>
        <w:t xml:space="preserve">.</w:t>
      </w:r>
      <w:r>
        <w:rPr>
          <w:rFonts w:hint="eastAsia"/>
          <w:color w:val="auto"/>
          <w:highlight w:val="none"/>
          <w:u w:val="single"/>
        </w:rPr>
        <w:t xml:space="preserve">床上用品</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79</w:t>
      </w:r>
      <w:r>
        <w:rPr>
          <w:rFonts w:hint="eastAsia"/>
          <w:color w:val="auto"/>
          <w:highlight w:val="none"/>
        </w:rPr>
        <w:t xml:space="preserve">.</w:t>
      </w:r>
      <w:r>
        <w:rPr>
          <w:rFonts w:hint="eastAsia"/>
          <w:color w:val="auto"/>
          <w:highlight w:val="none"/>
          <w:u w:val="single"/>
        </w:rPr>
        <w:t xml:space="preserve">主席台会议椅</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80</w:t>
      </w:r>
      <w:r>
        <w:rPr>
          <w:rFonts w:hint="eastAsia"/>
          <w:color w:val="auto"/>
          <w:highlight w:val="none"/>
        </w:rPr>
        <w:t xml:space="preserve">.</w:t>
      </w:r>
      <w:r>
        <w:rPr>
          <w:rFonts w:hint="eastAsia"/>
          <w:color w:val="auto"/>
          <w:highlight w:val="none"/>
          <w:u w:val="single"/>
        </w:rPr>
        <w:t xml:space="preserve">单人阶梯座椅</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81</w:t>
      </w:r>
      <w:r>
        <w:rPr>
          <w:rFonts w:hint="eastAsia"/>
          <w:color w:val="auto"/>
          <w:highlight w:val="none"/>
        </w:rPr>
        <w:t xml:space="preserve">.</w:t>
      </w:r>
      <w:r>
        <w:rPr>
          <w:rFonts w:hint="eastAsia"/>
          <w:color w:val="auto"/>
          <w:highlight w:val="none"/>
          <w:u w:val="single"/>
        </w:rPr>
        <w:t xml:space="preserve">沙发</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82</w:t>
      </w:r>
      <w:r>
        <w:rPr>
          <w:rFonts w:hint="eastAsia"/>
          <w:color w:val="auto"/>
          <w:highlight w:val="none"/>
        </w:rPr>
        <w:t xml:space="preserve">.</w:t>
      </w:r>
      <w:r>
        <w:rPr>
          <w:rFonts w:hint="eastAsia"/>
          <w:color w:val="auto"/>
          <w:highlight w:val="none"/>
          <w:u w:val="single"/>
        </w:rPr>
        <w:t xml:space="preserve">铁床</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83</w:t>
      </w:r>
      <w:r>
        <w:rPr>
          <w:rFonts w:hint="eastAsia"/>
          <w:color w:val="auto"/>
          <w:highlight w:val="none"/>
        </w:rPr>
        <w:t xml:space="preserve">.</w:t>
      </w:r>
      <w:r>
        <w:rPr>
          <w:rFonts w:hint="eastAsia"/>
          <w:color w:val="auto"/>
          <w:highlight w:val="none"/>
          <w:u w:val="single"/>
        </w:rPr>
        <w:t xml:space="preserve">方凳</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84</w:t>
      </w:r>
      <w:r>
        <w:rPr>
          <w:rFonts w:hint="eastAsia"/>
          <w:color w:val="auto"/>
          <w:highlight w:val="none"/>
        </w:rPr>
        <w:t xml:space="preserve">.</w:t>
      </w:r>
      <w:r>
        <w:rPr>
          <w:rFonts w:hint="eastAsia"/>
          <w:color w:val="auto"/>
          <w:highlight w:val="none"/>
          <w:u w:val="single"/>
        </w:rPr>
        <w:t xml:space="preserve">学习桌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85</w:t>
      </w:r>
      <w:r>
        <w:rPr>
          <w:rFonts w:hint="eastAsia"/>
          <w:color w:val="auto"/>
          <w:highlight w:val="none"/>
        </w:rPr>
        <w:t xml:space="preserve">.</w:t>
      </w:r>
      <w:r>
        <w:rPr>
          <w:rFonts w:hint="eastAsia"/>
          <w:color w:val="auto"/>
          <w:highlight w:val="none"/>
          <w:u w:val="single"/>
        </w:rPr>
        <w:t xml:space="preserve">餐桌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86</w:t>
      </w:r>
      <w:r>
        <w:rPr>
          <w:rFonts w:hint="eastAsia"/>
          <w:color w:val="auto"/>
          <w:highlight w:val="none"/>
        </w:rPr>
        <w:t xml:space="preserve">.</w:t>
      </w:r>
      <w:r>
        <w:rPr>
          <w:rFonts w:hint="eastAsia"/>
          <w:color w:val="auto"/>
          <w:highlight w:val="none"/>
          <w:u w:val="single"/>
        </w:rPr>
        <w:t xml:space="preserve">餐桌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u w:val="single"/>
        </w:rPr>
      </w:pPr>
      <w:r>
        <w:rPr>
          <w:rFonts w:hint="eastAsia"/>
          <w:color w:val="auto"/>
          <w:highlight w:val="none"/>
          <w:lang w:val="en-US" w:eastAsia="zh-CN"/>
        </w:rPr>
        <w:t xml:space="preserve">87</w:t>
      </w:r>
      <w:r>
        <w:rPr>
          <w:rFonts w:hint="eastAsia"/>
          <w:color w:val="auto"/>
          <w:highlight w:val="none"/>
        </w:rPr>
        <w:t xml:space="preserve">.</w:t>
      </w:r>
      <w:r>
        <w:rPr>
          <w:rFonts w:hint="eastAsia"/>
          <w:color w:val="auto"/>
          <w:highlight w:val="none"/>
          <w:u w:val="single"/>
        </w:rPr>
        <w:t xml:space="preserve">跑步机</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88</w:t>
      </w:r>
      <w:r>
        <w:rPr>
          <w:rFonts w:hint="eastAsia"/>
          <w:color w:val="auto"/>
          <w:highlight w:val="none"/>
        </w:rPr>
        <w:t xml:space="preserve">.</w:t>
      </w:r>
      <w:r>
        <w:rPr>
          <w:rFonts w:hint="eastAsia"/>
          <w:color w:val="auto"/>
          <w:highlight w:val="none"/>
          <w:u w:val="single"/>
        </w:rPr>
        <w:t xml:space="preserve">腹肌板</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89</w:t>
      </w:r>
      <w:r>
        <w:rPr>
          <w:rFonts w:hint="eastAsia"/>
          <w:color w:val="auto"/>
          <w:highlight w:val="none"/>
        </w:rPr>
        <w:t xml:space="preserve">.</w:t>
      </w:r>
      <w:r>
        <w:rPr>
          <w:rFonts w:hint="eastAsia"/>
          <w:color w:val="auto"/>
          <w:highlight w:val="none"/>
          <w:u w:val="single"/>
        </w:rPr>
        <w:t xml:space="preserve">杠铃组</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90</w:t>
      </w:r>
      <w:r>
        <w:rPr>
          <w:rFonts w:hint="eastAsia"/>
          <w:color w:val="auto"/>
          <w:highlight w:val="none"/>
        </w:rPr>
        <w:t xml:space="preserve">.</w:t>
      </w:r>
      <w:r>
        <w:rPr>
          <w:rFonts w:hint="eastAsia"/>
          <w:color w:val="auto"/>
          <w:highlight w:val="none"/>
          <w:u w:val="single"/>
        </w:rPr>
        <w:t xml:space="preserve">哑铃组</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91</w:t>
      </w:r>
      <w:r>
        <w:rPr>
          <w:rFonts w:hint="eastAsia"/>
          <w:color w:val="auto"/>
          <w:highlight w:val="none"/>
        </w:rPr>
        <w:t xml:space="preserve">.</w:t>
      </w:r>
      <w:r>
        <w:rPr>
          <w:rFonts w:hint="eastAsia"/>
          <w:color w:val="auto"/>
          <w:highlight w:val="none"/>
          <w:u w:val="single"/>
        </w:rPr>
        <w:t xml:space="preserve">综合健身设备</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92</w:t>
      </w:r>
      <w:r>
        <w:rPr>
          <w:rFonts w:hint="eastAsia"/>
          <w:color w:val="auto"/>
          <w:highlight w:val="none"/>
        </w:rPr>
        <w:t xml:space="preserve">.</w:t>
      </w:r>
      <w:r>
        <w:rPr>
          <w:rFonts w:hint="eastAsia"/>
          <w:color w:val="auto"/>
          <w:highlight w:val="none"/>
          <w:u w:val="single"/>
        </w:rPr>
        <w:t xml:space="preserve">健身自行车</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93</w:t>
      </w:r>
      <w:r>
        <w:rPr>
          <w:rFonts w:hint="eastAsia"/>
          <w:color w:val="auto"/>
          <w:highlight w:val="none"/>
        </w:rPr>
        <w:t xml:space="preserve">.</w:t>
      </w:r>
      <w:r>
        <w:rPr>
          <w:rFonts w:hint="eastAsia"/>
          <w:color w:val="auto"/>
          <w:highlight w:val="none"/>
          <w:u w:val="single"/>
        </w:rPr>
        <w:t xml:space="preserve">卷腹器</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94</w:t>
      </w:r>
      <w:r>
        <w:rPr>
          <w:rFonts w:hint="eastAsia"/>
          <w:color w:val="auto"/>
          <w:highlight w:val="none"/>
        </w:rPr>
        <w:t xml:space="preserve">.</w:t>
      </w:r>
      <w:r>
        <w:rPr>
          <w:rFonts w:hint="eastAsia"/>
          <w:color w:val="auto"/>
          <w:highlight w:val="none"/>
          <w:u w:val="single"/>
        </w:rPr>
        <w:t xml:space="preserve">台球桌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95</w:t>
      </w:r>
      <w:r>
        <w:rPr>
          <w:rFonts w:hint="eastAsia"/>
          <w:color w:val="auto"/>
          <w:highlight w:val="none"/>
        </w:rPr>
        <w:t xml:space="preserve">.</w:t>
      </w:r>
      <w:r>
        <w:rPr>
          <w:rFonts w:hint="eastAsia"/>
          <w:color w:val="auto"/>
          <w:highlight w:val="none"/>
          <w:u w:val="single"/>
        </w:rPr>
        <w:t xml:space="preserve">乒乓球桌</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846"/>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846"/>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846"/>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846"/>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846"/>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846"/>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left"/>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eastAsia="黑体"/>
          <w:color w:val="auto"/>
          <w:highlight w:val="none"/>
          <w:lang w:eastAsia="zh-CN"/>
        </w:rPr>
      </w:pP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eastAsia="zh-CN"/>
        </w:rPr>
        <w:t xml:space="preserve">（</w:t>
      </w:r>
      <w:r>
        <w:rPr>
          <w:rFonts w:hint="eastAsia" w:ascii="黑体" w:hAnsi="宋体" w:eastAsia="黑体" w:cs="黑体"/>
          <w:b/>
          <w:color w:val="auto"/>
          <w:sz w:val="32"/>
          <w:szCs w:val="32"/>
          <w:highlight w:val="none"/>
          <w:lang w:val="en-US" w:eastAsia="zh-CN"/>
        </w:rPr>
        <w:t xml:space="preserve">包件二</w:t>
      </w:r>
      <w:r>
        <w:rPr>
          <w:rFonts w:hint="eastAsia" w:ascii="黑体" w:hAnsi="宋体" w:eastAsia="黑体" w:cs="黑体"/>
          <w:b/>
          <w:color w:val="auto"/>
          <w:sz w:val="32"/>
          <w:szCs w:val="32"/>
          <w:highlight w:val="none"/>
          <w:lang w:eastAsia="zh-CN"/>
        </w:rPr>
        <w:t xml:space="preserve">）</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lang w:val="en-US" w:eastAsia="zh-CN"/>
        </w:rPr>
        <w:t xml:space="preserve">滨海县</w:t>
      </w:r>
      <w:r>
        <w:rPr>
          <w:rFonts w:hint="eastAsia"/>
          <w:color w:val="auto"/>
          <w:sz w:val="24"/>
          <w:highlight w:val="none"/>
        </w:rPr>
        <w:t xml:space="preserve">政府采购中心组织的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JSZC-320922-JZCG-G2025-0024</w:t>
      </w:r>
      <w:bookmarkStart w:id="197" w:name="_GoBack"/>
      <w:r/>
      <w:bookmarkEnd w:id="197"/>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846"/>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1</w:t>
      </w:r>
      <w:r>
        <w:rPr>
          <w:rFonts w:hint="eastAsia"/>
          <w:color w:val="auto"/>
          <w:highlight w:val="none"/>
        </w:rPr>
        <w:t xml:space="preserve">.</w:t>
      </w:r>
      <w:r>
        <w:rPr>
          <w:rFonts w:hint="eastAsia"/>
          <w:color w:val="auto"/>
          <w:highlight w:val="none"/>
          <w:u w:val="single"/>
        </w:rPr>
        <w:t xml:space="preserve">大2匹挂机</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2</w:t>
      </w:r>
      <w:r>
        <w:rPr>
          <w:rFonts w:hint="eastAsia"/>
          <w:color w:val="auto"/>
          <w:highlight w:val="none"/>
        </w:rPr>
        <w:t xml:space="preserve">.</w:t>
      </w:r>
      <w:r>
        <w:rPr>
          <w:rFonts w:hint="eastAsia"/>
          <w:color w:val="auto"/>
          <w:highlight w:val="none"/>
          <w:u w:val="single"/>
        </w:rPr>
        <w:t xml:space="preserve">立式柜机大3P</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w:t>
      </w:r>
      <w:r>
        <w:rPr>
          <w:rFonts w:hint="eastAsia"/>
          <w:color w:val="auto"/>
          <w:highlight w:val="none"/>
          <w:u w:val="single"/>
        </w:rPr>
        <w:t xml:space="preserve">中央空调1拖3，大机口不小于2匹</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846"/>
        <w:ind w:firstLine="360"/>
        <w:jc w:val="both"/>
        <w:spacing w:before="0" w:beforeAutospacing="0" w:after="0" w:afterAutospacing="0" w:line="360" w:lineRule="auto"/>
        <w:widowControl w:val="off"/>
        <w:rPr>
          <w:rFonts w:hint="eastAsia" w:eastAsiaTheme="minorEastAsia"/>
          <w:color w:val="auto"/>
          <w:highlight w:val="none"/>
          <w:lang w:val="en-US" w:eastAsia="zh-CN"/>
        </w:rPr>
      </w:pPr>
      <w:r>
        <w:rPr>
          <w:rFonts w:hint="eastAsia"/>
          <w:color w:val="auto"/>
          <w:highlight w:val="none"/>
        </w:rPr>
        <w:t xml:space="preserve">本企业对上述声明内容的真实性负责。如有虚假，将依法承担相应责任</w:t>
      </w:r>
      <w:r>
        <w:rPr>
          <w:rFonts w:hint="eastAsia"/>
          <w:color w:val="auto"/>
          <w:highlight w:val="none"/>
          <w:lang w:eastAsia="zh-CN"/>
        </w:rPr>
        <w:t xml:space="preserve">。</w:t>
      </w:r>
      <w:r/>
    </w:p>
    <w:p>
      <w:pPr>
        <w:pStyle w:val="846"/>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846"/>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846"/>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846"/>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846"/>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846"/>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both"/>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line="0" w:lineRule="atLeast"/>
        <w:rPr>
          <w:rFonts w:hint="eastAsia" w:eastAsia="黑体"/>
          <w:highlight w:val="none"/>
          <w:lang w:eastAsia="zh-CN"/>
        </w:rPr>
      </w:pPr>
      <w:r>
        <w:rPr>
          <w:rFonts w:hint="eastAsia" w:ascii="黑体" w:hAnsi="宋体" w:eastAsia="黑体" w:cs="黑体"/>
          <w:b/>
          <w:color w:val="000000"/>
          <w:sz w:val="32"/>
          <w:szCs w:val="32"/>
          <w:highlight w:val="none"/>
        </w:rPr>
        <w:t xml:space="preserve"> 十、残疾人福利性单位声明函</w:t>
      </w:r>
      <w:r>
        <w:rPr>
          <w:rFonts w:hint="eastAsia" w:ascii="黑体" w:hAnsi="宋体" w:eastAsia="黑体" w:cs="黑体"/>
          <w:b/>
          <w:color w:val="000000"/>
          <w:sz w:val="32"/>
          <w:szCs w:val="32"/>
          <w:highlight w:val="none"/>
          <w:lang w:eastAsia="zh-CN"/>
        </w:rPr>
        <w:t xml:space="preserve">（</w:t>
      </w:r>
      <w:r>
        <w:rPr>
          <w:rFonts w:hint="eastAsia" w:ascii="黑体" w:hAnsi="宋体" w:eastAsia="黑体" w:cs="黑体"/>
          <w:b/>
          <w:color w:val="000000"/>
          <w:sz w:val="32"/>
          <w:szCs w:val="32"/>
          <w:highlight w:val="none"/>
          <w:lang w:val="en-US" w:eastAsia="zh-CN"/>
        </w:rPr>
        <w:t xml:space="preserve">包件*</w:t>
      </w:r>
      <w:r>
        <w:rPr>
          <w:rFonts w:hint="eastAsia" w:ascii="黑体" w:hAnsi="宋体" w:eastAsia="黑体" w:cs="黑体"/>
          <w:b/>
          <w:color w:val="000000"/>
          <w:sz w:val="32"/>
          <w:szCs w:val="32"/>
          <w:highlight w:val="none"/>
          <w:lang w:eastAsia="zh-CN"/>
        </w:rPr>
        <w:t xml:space="preserve">）</w:t>
      </w:r>
      <w:r/>
    </w:p>
    <w:p>
      <w:pPr>
        <w:pStyle w:val="846"/>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项目采购活动提供本单位制造的货物，或者提供其他残疾人福利性单位制造的货物（不包括使用非残疾人福利性单位注册商标的货物）。</w:t>
      </w:r>
      <w:r/>
    </w:p>
    <w:p>
      <w:pPr>
        <w:pStyle w:val="846"/>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46"/>
        <w:ind w:firstLine="480"/>
        <w:jc w:val="both"/>
        <w:spacing w:beforeAutospacing="0" w:afterAutospacing="0" w:line="0" w:lineRule="atLeast"/>
        <w:rPr>
          <w:highlight w:val="none"/>
        </w:rPr>
      </w:pPr>
      <w:r>
        <w:rPr>
          <w:highlight w:val="none"/>
        </w:rPr>
        <w:t xml:space="preserve"> </w:t>
      </w:r>
      <w:r/>
    </w:p>
    <w:p>
      <w:pPr>
        <w:pStyle w:val="846"/>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w:t>
      </w:r>
      <w:r/>
    </w:p>
    <w:p>
      <w:pPr>
        <w:pStyle w:val="846"/>
        <w:ind w:firstLine="480"/>
        <w:jc w:val="both"/>
        <w:spacing w:beforeAutospacing="0" w:afterAutospacing="0" w:line="0" w:lineRule="atLeas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2、中标供应商为残疾人福利单位的，此声明函将随中标结果同时公告，接受社会监督</w:t>
      </w:r>
      <w:r>
        <w:rPr>
          <w:rFonts w:hint="eastAsia" w:ascii="宋体" w:hAnsi="宋体" w:eastAsia="宋体" w:cs="宋体"/>
          <w:color w:val="000000"/>
          <w:highlight w:val="none"/>
          <w:lang w:eastAsia="zh-CN"/>
        </w:rPr>
        <w:t xml:space="preserve">。</w:t>
      </w:r>
      <w:r/>
    </w:p>
    <w:p>
      <w:pPr>
        <w:pStyle w:val="846"/>
        <w:ind w:firstLine="480"/>
        <w:jc w:val="both"/>
        <w:spacing w:beforeAutospacing="0" w:afterAutospacing="0" w:line="0" w:lineRule="atLeas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46"/>
        <w:ind w:firstLine="624"/>
        <w:jc w:val="both"/>
        <w:spacing w:beforeAutospacing="0" w:afterAutospacing="0" w:line="0" w:lineRule="atLeast"/>
        <w:rPr>
          <w:highlight w:val="none"/>
        </w:rPr>
      </w:pPr>
      <w:r>
        <w:rPr>
          <w:highlight w:val="none"/>
        </w:rPr>
        <w:t xml:space="preserve"> </w:t>
      </w:r>
      <w:r/>
    </w:p>
    <w:p>
      <w:pPr>
        <w:pStyle w:val="846"/>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46"/>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846"/>
        <w:jc w:val="center"/>
        <w:spacing w:beforeAutospacing="0" w:afterAutospacing="0" w:line="0" w:lineRule="atLeast"/>
        <w:rPr>
          <w:highlight w:val="none"/>
        </w:rPr>
      </w:pPr>
      <w:r>
        <w:rPr>
          <w:highlight w:val="none"/>
        </w:rPr>
        <w:t xml:space="preserve"> </w:t>
      </w:r>
      <w:r/>
    </w:p>
    <w:p>
      <w:pPr>
        <w:pStyle w:val="846"/>
        <w:jc w:val="center"/>
        <w:spacing w:beforeAutospacing="0" w:afterAutospacing="0" w:line="0" w:lineRule="atLeast"/>
        <w:rPr>
          <w:highlight w:val="none"/>
        </w:rPr>
      </w:pPr>
      <w:r>
        <w:rPr>
          <w:highlight w:val="none"/>
        </w:rPr>
        <w:t xml:space="preserve"> </w:t>
      </w:r>
      <w:r/>
    </w:p>
    <w:p>
      <w:pPr>
        <w:pStyle w:val="846"/>
        <w:jc w:val="center"/>
        <w:spacing w:beforeAutospacing="0" w:afterAutospacing="0" w:line="0" w:lineRule="atLeast"/>
        <w:rPr>
          <w:highlight w:val="none"/>
        </w:rPr>
      </w:pPr>
      <w:r>
        <w:rPr>
          <w:highlight w:val="none"/>
        </w:rPr>
        <w:t xml:space="preserve"> </w:t>
      </w:r>
      <w:r/>
    </w:p>
    <w:p>
      <w:pPr>
        <w:pStyle w:val="846"/>
        <w:jc w:val="center"/>
        <w:spacing w:beforeAutospacing="0" w:afterAutospacing="0" w:line="0" w:lineRule="atLeast"/>
        <w:rPr>
          <w:highlight w:val="none"/>
        </w:rPr>
      </w:pPr>
      <w:r>
        <w:rPr>
          <w:highlight w:val="none"/>
        </w:rPr>
        <w:t xml:space="preserve"> </w:t>
      </w:r>
      <w:r/>
    </w:p>
    <w:p>
      <w:pPr>
        <w:pStyle w:val="846"/>
        <w:jc w:val="center"/>
        <w:spacing w:beforeAutospacing="0" w:afterAutospacing="0" w:line="0" w:lineRule="atLeast"/>
        <w:rPr>
          <w:highlight w:val="none"/>
        </w:rPr>
      </w:pPr>
      <w:r>
        <w:rPr>
          <w:highlight w:val="none"/>
        </w:rPr>
        <w:t xml:space="preserve"> </w:t>
      </w:r>
      <w:r/>
    </w:p>
    <w:p>
      <w:pPr>
        <w:pStyle w:val="846"/>
        <w:jc w:val="center"/>
        <w:spacing w:beforeAutospacing="0" w:afterAutospacing="0" w:line="0" w:lineRule="atLeast"/>
        <w:rPr>
          <w:highlight w:val="none"/>
        </w:rPr>
      </w:pPr>
      <w:r>
        <w:rPr>
          <w:highlight w:val="none"/>
        </w:rPr>
        <w:t xml:space="preserve"> </w:t>
      </w:r>
      <w:r/>
    </w:p>
    <w:p>
      <w:pPr>
        <w:pStyle w:val="846"/>
        <w:jc w:val="center"/>
        <w:spacing w:beforeAutospacing="0" w:afterAutospacing="0" w:line="0" w:lineRule="atLeast"/>
        <w:rPr>
          <w:highlight w:val="none"/>
        </w:rPr>
      </w:pPr>
      <w:r>
        <w:rPr>
          <w:highlight w:val="none"/>
        </w:rPr>
        <w:t xml:space="preserve"> </w:t>
      </w:r>
      <w:r/>
    </w:p>
    <w:p>
      <w:pPr>
        <w:pStyle w:val="846"/>
        <w:jc w:val="center"/>
        <w:spacing w:beforeAutospacing="0" w:afterAutospacing="0" w:line="0" w:lineRule="atLeast"/>
        <w:rPr>
          <w:highlight w:val="none"/>
        </w:rPr>
      </w:pPr>
      <w:r>
        <w:rPr>
          <w:highlight w:val="none"/>
        </w:rPr>
        <w:t xml:space="preserve"> </w:t>
      </w:r>
      <w:r/>
    </w:p>
    <w:p>
      <w:pPr>
        <w:pStyle w:val="846"/>
        <w:jc w:val="center"/>
        <w:spacing w:beforeAutospacing="0" w:afterAutospacing="0" w:line="0" w:lineRule="atLeast"/>
        <w:rPr>
          <w:highlight w:val="none"/>
        </w:rPr>
      </w:pPr>
      <w:r>
        <w:rPr>
          <w:highlight w:val="none"/>
        </w:rPr>
        <w:t xml:space="preserve"> </w:t>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center"/>
        <w:spacing w:beforeAutospacing="0" w:afterAutospacing="0" w:line="0" w:lineRule="atLeast"/>
        <w:rPr>
          <w:highlight w:val="none"/>
        </w:rPr>
      </w:pPr>
      <w:r>
        <w:rPr>
          <w:highlight w:val="none"/>
        </w:rPr>
      </w:r>
      <w:r/>
    </w:p>
    <w:p>
      <w:pPr>
        <w:pStyle w:val="846"/>
        <w:jc w:val="both"/>
        <w:spacing w:beforeAutospacing="0" w:afterAutospacing="0" w:line="0" w:lineRule="atLeast"/>
        <w:rPr>
          <w:highlight w:val="none"/>
        </w:rPr>
      </w:pPr>
      <w:r>
        <w:rPr>
          <w:highlight w:val="none"/>
        </w:rPr>
      </w:r>
      <w:r/>
    </w:p>
    <w:p>
      <w:pPr>
        <w:pStyle w:val="859"/>
        <w:jc w:val="center"/>
        <w:rPr>
          <w:rFonts w:hint="eastAsia" w:ascii="黑体" w:eastAsia="黑体"/>
          <w:strike/>
          <w:highlight w:val="none"/>
          <w:lang w:eastAsia="zh-CN"/>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一</w:t>
      </w:r>
      <w:r>
        <w:rPr>
          <w:rFonts w:hint="eastAsia" w:ascii="黑体" w:hAnsi="宋体" w:eastAsia="黑体" w:cs="黑体"/>
          <w:b/>
          <w:color w:val="000000"/>
          <w:sz w:val="32"/>
          <w:szCs w:val="32"/>
          <w:highlight w:val="none"/>
        </w:rPr>
        <w:t xml:space="preserve">、</w:t>
      </w:r>
      <w:r>
        <w:rPr>
          <w:rFonts w:ascii="黑体" w:eastAsia="黑体"/>
          <w:highlight w:val="none"/>
        </w:rPr>
        <w:t xml:space="preserve"> </w:t>
      </w:r>
      <w:r>
        <w:rPr>
          <w:rFonts w:hint="eastAsia" w:ascii="黑体" w:eastAsia="黑体"/>
          <w:highlight w:val="none"/>
        </w:rPr>
        <w:t xml:space="preserve">分项报价表</w:t>
      </w:r>
      <w:r>
        <w:rPr>
          <w:rFonts w:hint="eastAsia" w:ascii="黑体" w:eastAsia="黑体"/>
          <w:highlight w:val="none"/>
          <w:lang w:eastAsia="zh-CN"/>
        </w:rPr>
        <w:t xml:space="preserve">（</w:t>
      </w:r>
      <w:r>
        <w:rPr>
          <w:rFonts w:hint="eastAsia" w:ascii="黑体" w:eastAsia="黑体"/>
          <w:highlight w:val="none"/>
          <w:lang w:val="en-US" w:eastAsia="zh-CN"/>
        </w:rPr>
        <w:t xml:space="preserve">包件一</w:t>
      </w:r>
      <w:r>
        <w:rPr>
          <w:rFonts w:hint="eastAsia" w:ascii="黑体" w:eastAsia="黑体"/>
          <w:highlight w:val="none"/>
          <w:lang w:eastAsia="zh-CN"/>
        </w:rPr>
        <w:t xml:space="preserve">）</w:t>
      </w:r>
      <w:r/>
    </w:p>
    <w:p>
      <w:pPr>
        <w:pStyle w:val="852"/>
        <w:ind w:left="0" w:right="1470"/>
        <w:jc w:val="left"/>
        <w:rPr>
          <w:rFonts w:ascii="黑体" w:eastAsia="黑体"/>
          <w:u w:val="single"/>
        </w:rPr>
      </w:pPr>
      <w:r>
        <w:rPr>
          <w:rFonts w:ascii="黑体" w:eastAsia="黑体"/>
        </w:rPr>
        <w:t xml:space="preserve">项目名称：</w:t>
      </w:r>
      <w:r>
        <w:rPr>
          <w:rFonts w:ascii="黑体" w:eastAsia="黑体"/>
          <w:u w:val="single"/>
        </w:rPr>
        <w:t xml:space="preserve">                         </w:t>
      </w:r>
      <w:r/>
    </w:p>
    <w:p>
      <w:pPr>
        <w:pStyle w:val="852"/>
        <w:ind w:left="0" w:right="1470"/>
        <w:jc w:val="right"/>
        <w:rPr>
          <w:rFonts w:ascii="黑体" w:eastAsia="黑体"/>
        </w:rPr>
      </w:pPr>
      <w:r>
        <w:rPr>
          <w:rFonts w:ascii="黑体" w:eastAsia="黑体"/>
        </w:rPr>
        <w:t xml:space="preserve">人民币：元</w:t>
      </w:r>
      <w:r/>
    </w:p>
    <w:tbl>
      <w:tblPr>
        <w:tblStyle w:val="837"/>
        <w:tblW w:w="10144" w:type="dxa"/>
        <w:tblInd w:w="-88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6"/>
        <w:gridCol w:w="1751"/>
        <w:gridCol w:w="2532"/>
        <w:gridCol w:w="1233"/>
        <w:gridCol w:w="1222"/>
        <w:gridCol w:w="1265"/>
        <w:gridCol w:w="1265"/>
      </w:tblGrid>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876" w:type="dxa"/>
            <w:vAlign w:val="center"/>
            <w:textDirection w:val="lrTb"/>
            <w:noWrap w:val="false"/>
          </w:tcPr>
          <w:p>
            <w:pPr>
              <w:jc w:val="center"/>
              <w:keepLines w:val="0"/>
              <w:keepNext w:val="0"/>
              <w:widowControl/>
              <w:rPr>
                <w:rFonts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货物名称</w:t>
            </w:r>
            <w:r/>
          </w:p>
        </w:tc>
        <w:tc>
          <w:tcPr>
            <w:shd w:val="clear" w:color="auto" w:fill="auto"/>
            <w:tcBorders>
              <w:top w:val="single" w:color="000000" w:sz="4" w:space="0"/>
              <w:left w:val="single" w:color="000000" w:sz="4" w:space="0"/>
              <w:bottom w:val="none" w:color="000000" w:sz="4" w:space="0"/>
              <w:right w:val="single" w:color="000000" w:sz="4" w:space="0"/>
            </w:tcBorders>
            <w:tcW w:w="253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t xml:space="preserve">所投产品品牌(或生产企业)及型号</w:t>
            </w:r>
            <w:r/>
          </w:p>
        </w:tc>
        <w:tc>
          <w:tcPr>
            <w:shd w:val="clear" w:color="auto" w:fill="auto"/>
            <w:tcBorders>
              <w:top w:val="single" w:color="000000" w:sz="4" w:space="0"/>
              <w:left w:val="single" w:color="000000" w:sz="4" w:space="0"/>
              <w:bottom w:val="non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non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单价</w:t>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合价</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手机存放柜</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电脑</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碎纸机</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打印机</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21</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扫描仪</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人体模型</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伤情模拟套装</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简易手术套装</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辅助训练器材</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lang w:val="en-US" w:eastAsia="zh-CN"/>
              </w:rPr>
              <w:suppressLineNumbers w:val="0"/>
            </w:pPr>
            <w:r>
              <w:rPr>
                <w:rFonts w:hint="eastAsia" w:ascii="黑体" w:hAnsi="宋体" w:eastAsia="黑体" w:cs="黑体"/>
                <w:b w:val="0"/>
                <w:bCs w:val="0"/>
                <w:i w:val="0"/>
                <w:iCs w:val="0"/>
                <w:color w:val="000000"/>
                <w:sz w:val="18"/>
                <w:szCs w:val="18"/>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担架床</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图板</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展板架</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打孔机</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highlight w:val="none"/>
                <w:u w:val="none"/>
                <w:lang w:val="en-US"/>
              </w:rPr>
              <w:suppressLineNumbers w:val="0"/>
            </w:pPr>
            <w:r>
              <w:rPr>
                <w:rFonts w:hint="eastAsia" w:ascii="黑体" w:hAnsi="宋体" w:eastAsia="黑体" w:cs="黑体"/>
                <w:b w:val="0"/>
                <w:bCs w:val="0"/>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highlight w:val="none"/>
                <w:u w:val="none"/>
              </w:rPr>
              <w:suppressLineNumbers w:val="0"/>
            </w:pPr>
            <w:r>
              <w:rPr>
                <w:rFonts w:hint="eastAsia" w:ascii="黑体" w:hAnsi="宋体" w:eastAsia="黑体" w:cs="黑体"/>
                <w:b w:val="0"/>
                <w:bCs w:val="0"/>
                <w:i w:val="0"/>
                <w:iCs w:val="0"/>
                <w:color w:val="000000"/>
                <w:sz w:val="21"/>
                <w:szCs w:val="21"/>
                <w:highlight w:val="none"/>
                <w:u w:val="none"/>
                <w:lang w:val="en-US" w:eastAsia="zh-CN" w:bidi="ar"/>
              </w:rPr>
              <w:t xml:space="preserve">图书</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highlight w:val="none"/>
                <w:u w:val="none"/>
                <w:lang w:val="en-US" w:eastAsia="zh-CN"/>
              </w:rPr>
              <w:suppressLineNumbers w:val="0"/>
            </w:pPr>
            <w:r>
              <w:rPr>
                <w:rFonts w:hint="eastAsia" w:ascii="黑体" w:hAnsi="宋体" w:eastAsia="黑体" w:cs="黑体"/>
                <w:b w:val="0"/>
                <w:bCs w:val="0"/>
                <w:i w:val="0"/>
                <w:iCs w:val="0"/>
                <w:color w:val="000000"/>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highlight w:val="none"/>
                <w:u w:val="none"/>
              </w:rPr>
              <w:suppressLineNumbers w:val="0"/>
            </w:pPr>
            <w:r>
              <w:rPr>
                <w:rFonts w:hint="eastAsia" w:ascii="黑体" w:hAnsi="宋体" w:eastAsia="黑体" w:cs="黑体"/>
                <w:b w:val="0"/>
                <w:bCs w:val="0"/>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highlight w:val="none"/>
                <w:u w:val="none"/>
              </w:rPr>
              <w:suppressLineNumbers w:val="0"/>
            </w:pPr>
            <w:r>
              <w:rPr>
                <w:rFonts w:hint="eastAsia" w:ascii="黑体" w:hAnsi="宋体" w:eastAsia="黑体" w:cs="黑体"/>
                <w:b w:val="0"/>
                <w:bCs w:val="0"/>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rPr>
                <w:rFonts w:hint="eastAsia" w:ascii="黑体" w:hAnsi="宋体" w:eastAsia="黑体" w:cs="黑体"/>
                <w:b w:val="0"/>
                <w:bCs w:val="0"/>
                <w:i w:val="0"/>
                <w:iCs w:val="0"/>
                <w:color w:val="000000"/>
                <w:sz w:val="21"/>
                <w:szCs w:val="21"/>
                <w:highlight w:val="none"/>
                <w:u w:val="none"/>
              </w:rPr>
            </w:pPr>
            <w:r>
              <w:rPr>
                <w:rFonts w:hint="eastAsia" w:ascii="黑体" w:hAnsi="宋体" w:eastAsia="黑体" w:cs="黑体"/>
                <w:b w:val="0"/>
                <w:bCs w:val="0"/>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笔记本电脑</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电视</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t xml:space="preserve">维修工具车</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擦鞋机</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热水壶</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highlight w:val="none"/>
                <w:u w:val="none"/>
              </w:rPr>
              <w:suppressLineNumbers w:val="0"/>
            </w:pPr>
            <w:r>
              <w:rPr>
                <w:rFonts w:hint="eastAsia" w:ascii="黑体" w:hAnsi="宋体" w:eastAsia="黑体" w:cs="黑体"/>
                <w:b w:val="0"/>
                <w:bCs w:val="0"/>
                <w:i w:val="0"/>
                <w:iCs w:val="0"/>
                <w:color w:val="000000"/>
                <w:sz w:val="21"/>
                <w:szCs w:val="21"/>
                <w:highlight w:val="none"/>
                <w:u w:val="none"/>
                <w:lang w:val="en-US" w:eastAsia="zh-CN" w:bidi="ar"/>
              </w:rPr>
              <w:t xml:space="preserve">焊台</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highlight w:val="none"/>
                <w:u w:val="none"/>
              </w:rPr>
              <w:suppressLineNumbers w:val="0"/>
            </w:pPr>
            <w:r>
              <w:rPr>
                <w:rFonts w:hint="eastAsia" w:ascii="黑体" w:hAnsi="宋体" w:eastAsia="黑体" w:cs="黑体"/>
                <w:b w:val="0"/>
                <w:bCs w:val="0"/>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highlight w:val="none"/>
                <w:u w:val="none"/>
              </w:rPr>
              <w:suppressLineNumbers w:val="0"/>
            </w:pPr>
            <w:r>
              <w:rPr>
                <w:rFonts w:hint="eastAsia" w:ascii="黑体" w:hAnsi="宋体" w:eastAsia="黑体" w:cs="黑体"/>
                <w:b w:val="0"/>
                <w:bCs w:val="0"/>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焊锡丝</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rPr>
                <w:rFonts w:hint="default" w:ascii="黑体" w:hAnsi="宋体" w:eastAsia="黑体" w:cs="黑体"/>
                <w:b w:val="0"/>
                <w:bCs w:val="0"/>
                <w:i w:val="0"/>
                <w:iCs w:val="0"/>
                <w:color w:val="000000"/>
                <w:sz w:val="18"/>
                <w:szCs w:val="18"/>
                <w:u w:val="none"/>
                <w:lang w:val="en-US" w:eastAsia="zh-CN"/>
              </w:rPr>
            </w:pPr>
            <w:r>
              <w:rPr>
                <w:rFonts w:hint="eastAsia" w:ascii="黑体" w:hAnsi="宋体" w:eastAsia="黑体" w:cs="黑体"/>
                <w:b w:val="0"/>
                <w:bCs w:val="0"/>
                <w:i w:val="0"/>
                <w:iCs w:val="0"/>
                <w:color w:val="000000"/>
                <w:sz w:val="18"/>
                <w:szCs w:val="18"/>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维修工具</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万用表</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rPr>
                <w:rFonts w:hint="eastAsia" w:ascii="黑体" w:hAnsi="宋体" w:eastAsia="黑体" w:cs="黑体"/>
                <w:b w:val="0"/>
                <w:bCs w:val="0"/>
                <w:i w:val="0"/>
                <w:iCs w:val="0"/>
                <w:color w:val="000000"/>
                <w:sz w:val="18"/>
                <w:szCs w:val="18"/>
                <w:u w:val="none"/>
              </w:rPr>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烧水壶</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运输托盘</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r>
      <w:tr>
        <w:trPr>
          <w:trHeight w:val="491"/>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吊机</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仪容风纪镜</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垃圾箱</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134</w:t>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重型盾牌</w:t>
            </w:r>
            <w:r>
              <w:rPr>
                <w:rFonts w:hint="eastAsia" w:ascii="黑体" w:hAnsi="宋体" w:eastAsia="黑体" w:cs="黑体"/>
                <w:b w:val="0"/>
                <w:bCs w:val="0"/>
                <w:i w:val="0"/>
                <w:iCs w:val="0"/>
                <w:color w:val="000000"/>
                <w:sz w:val="21"/>
                <w:szCs w:val="21"/>
                <w:u w:val="none"/>
                <w:lang w:val="en-US" w:eastAsia="zh-CN" w:bidi="ar"/>
              </w:rPr>
              <w:br/>
            </w:r>
            <w:r>
              <w:rPr>
                <w:rFonts w:hint="eastAsia" w:ascii="黑体" w:hAnsi="宋体" w:eastAsia="黑体" w:cs="黑体"/>
                <w:b w:val="0"/>
                <w:bCs w:val="0"/>
                <w:i w:val="0"/>
                <w:iCs w:val="0"/>
                <w:color w:val="000000"/>
                <w:sz w:val="21"/>
                <w:szCs w:val="21"/>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重型铁锹</w:t>
            </w:r>
            <w:r>
              <w:rPr>
                <w:rFonts w:hint="eastAsia" w:ascii="黑体" w:hAnsi="宋体" w:eastAsia="黑体" w:cs="黑体"/>
                <w:b w:val="0"/>
                <w:bCs w:val="0"/>
                <w:i w:val="0"/>
                <w:iCs w:val="0"/>
                <w:color w:val="000000"/>
                <w:sz w:val="21"/>
                <w:szCs w:val="21"/>
                <w:u w:val="none"/>
                <w:lang w:val="en-US" w:eastAsia="zh-CN" w:bidi="ar"/>
              </w:rPr>
              <w:br/>
            </w:r>
            <w:r>
              <w:rPr>
                <w:rFonts w:hint="eastAsia" w:ascii="黑体" w:hAnsi="宋体" w:eastAsia="黑体" w:cs="黑体"/>
                <w:b w:val="0"/>
                <w:bCs w:val="0"/>
                <w:i w:val="0"/>
                <w:iCs w:val="0"/>
                <w:color w:val="000000"/>
                <w:sz w:val="21"/>
                <w:szCs w:val="21"/>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移动网箱</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移动托盘</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滚塑箱</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numPr>
                <w:ilvl w:val="0"/>
                <w:numId w:val="0"/>
              </w:num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装具柜</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会议椅、办公椅</w:t>
            </w:r>
            <w:r/>
          </w:p>
        </w:tc>
        <w:tc>
          <w:tcPr>
            <w:shd w:val="clear" w:color="auto" w:fill="auto"/>
            <w:tcBorders>
              <w:top w:val="single" w:color="000000" w:sz="4" w:space="0"/>
              <w:left w:val="non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non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non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资料柜</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资料柜</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会议条桌</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1018"/>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陶瓷杯</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衣架</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单张3人位休息凳</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rPr>
                <w:rFonts w:hint="default" w:ascii="黑体" w:hAnsi="宋体" w:eastAsia="黑体" w:cs="黑体"/>
                <w:b w:val="0"/>
                <w:bCs w:val="0"/>
                <w:i w:val="0"/>
                <w:iCs w:val="0"/>
                <w:color w:val="000000"/>
                <w:sz w:val="18"/>
                <w:szCs w:val="18"/>
                <w:u w:val="none"/>
                <w:lang w:val="en-US" w:eastAsia="zh-CN"/>
              </w:rPr>
            </w:pPr>
            <w:r>
              <w:rPr>
                <w:rFonts w:hint="default" w:ascii="黑体" w:hAnsi="宋体" w:eastAsia="黑体" w:cs="黑体"/>
                <w:b w:val="0"/>
                <w:bCs w:val="0"/>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棋桌</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方桌</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接待沙发</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医疗柜</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阅览桌</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报刊架</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棋盘</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单人商务接待沙发</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席梦思床垫</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40</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vMerge w:val="continue"/>
            <w:textDirection w:val="lrTb"/>
            <w:noWrap w:val="false"/>
          </w:tcPr>
          <w:p>
            <w:pPr>
              <w:jc w:val="center"/>
              <w:rPr>
                <w:rFonts w:hint="eastAsia" w:ascii="黑体" w:hAnsi="宋体" w:eastAsia="黑体" w:cs="黑体"/>
                <w:b w:val="0"/>
                <w:bCs w:val="0"/>
                <w:i w:val="0"/>
                <w:iCs w:val="0"/>
                <w:color w:val="000000"/>
                <w:sz w:val="21"/>
                <w:szCs w:val="21"/>
                <w:u w:val="none"/>
              </w:rPr>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床上用品</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60</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主席台会议椅</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单人阶梯座椅</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294</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865"/>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ind w:firstLine="420"/>
              <w:jc w:val="both"/>
              <w:keepLines w:val="0"/>
              <w:keepNext w:val="0"/>
              <w:widowControl/>
              <w:rPr>
                <w:rFonts w:hint="eastAsia"/>
                <w:lang w:val="en-US" w:eastAsia="zh-CN"/>
              </w:rPr>
              <w:suppressLineNumbers w:val="0"/>
            </w:pPr>
            <w:r>
              <w:rPr>
                <w:rFonts w:hint="eastAsia" w:ascii="黑体" w:hAnsi="宋体" w:eastAsia="黑体" w:cs="黑体"/>
                <w:b w:val="0"/>
                <w:bCs w:val="0"/>
                <w:i w:val="0"/>
                <w:iCs w:val="0"/>
                <w:color w:val="000000"/>
                <w:sz w:val="21"/>
                <w:szCs w:val="21"/>
                <w:u w:val="none"/>
                <w:lang w:val="en-US" w:eastAsia="zh-CN" w:bidi="ar"/>
              </w:rPr>
              <w:t xml:space="preserve">铁床</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学习桌</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highlight w:val="none"/>
                <w:u w:val="none"/>
                <w:lang w:val="en-US"/>
              </w:rPr>
              <w:suppressLineNumbers w:val="0"/>
            </w:pPr>
            <w:r>
              <w:rPr>
                <w:rFonts w:hint="eastAsia" w:ascii="黑体" w:hAnsi="宋体" w:eastAsia="黑体" w:cs="黑体"/>
                <w:b w:val="0"/>
                <w:bCs w:val="0"/>
                <w:i w:val="0"/>
                <w:iCs w:val="0"/>
                <w:color w:val="000000"/>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rPr>
                <w:rFonts w:hint="eastAsia" w:ascii="黑体" w:hAnsi="宋体" w:eastAsia="黑体" w:cs="黑体"/>
                <w:b w:val="0"/>
                <w:bCs w:val="0"/>
                <w:i w:val="0"/>
                <w:iCs w:val="0"/>
                <w:color w:val="000000"/>
                <w:sz w:val="21"/>
                <w:szCs w:val="21"/>
                <w:highlight w:val="none"/>
                <w:u w:val="none"/>
                <w:lang w:val="en-US" w:eastAsia="zh-CN"/>
              </w:rPr>
            </w:pPr>
            <w:r>
              <w:rPr>
                <w:rFonts w:hint="eastAsia" w:ascii="黑体" w:hAnsi="宋体" w:eastAsia="黑体" w:cs="黑体"/>
                <w:b w:val="0"/>
                <w:bCs w:val="0"/>
                <w:i w:val="0"/>
                <w:iCs w:val="0"/>
                <w:color w:val="000000"/>
                <w:sz w:val="21"/>
                <w:szCs w:val="21"/>
                <w:highlight w:val="none"/>
                <w:u w:val="none"/>
                <w:lang w:val="en-US" w:eastAsia="zh-CN"/>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highlight w:val="none"/>
                <w:u w:val="none"/>
              </w:rPr>
              <w:suppressLineNumbers w:val="0"/>
            </w:pPr>
            <w:r>
              <w:rPr>
                <w:rFonts w:hint="eastAsia" w:ascii="黑体" w:hAnsi="宋体" w:eastAsia="黑体" w:cs="黑体"/>
                <w:b w:val="0"/>
                <w:bCs w:val="0"/>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highlight w:val="none"/>
                <w:u w:val="none"/>
              </w:rPr>
              <w:suppressLineNumbers w:val="0"/>
            </w:pPr>
            <w:r>
              <w:rPr>
                <w:rFonts w:hint="eastAsia" w:ascii="黑体" w:hAnsi="宋体" w:eastAsia="黑体" w:cs="黑体"/>
                <w:b w:val="0"/>
                <w:bCs w:val="0"/>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highlight w:val="none"/>
                <w:u w:val="none"/>
              </w:rPr>
              <w:suppressLineNumbers w:val="0"/>
            </w:pPr>
            <w:r>
              <w:rPr>
                <w:rFonts w:hint="eastAsia" w:ascii="黑体" w:hAnsi="宋体" w:eastAsia="黑体" w:cs="黑体"/>
                <w:b w:val="0"/>
                <w:bCs w:val="0"/>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highlight w:val="none"/>
                <w:u w:val="none"/>
              </w:rPr>
              <w:suppressLineNumbers w:val="0"/>
            </w:pPr>
            <w:r>
              <w:rPr>
                <w:rFonts w:hint="eastAsia" w:ascii="黑体" w:hAnsi="宋体" w:eastAsia="黑体" w:cs="黑体"/>
                <w:b w:val="0"/>
                <w:bCs w:val="0"/>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highlight w:val="none"/>
                <w:u w:val="none"/>
              </w:rPr>
              <w:suppressLineNumbers w:val="0"/>
            </w:pPr>
            <w:r>
              <w:rPr>
                <w:rFonts w:hint="eastAsia" w:ascii="黑体" w:hAnsi="宋体" w:eastAsia="黑体" w:cs="黑体"/>
                <w:b w:val="0"/>
                <w:bCs w:val="0"/>
                <w:i w:val="0"/>
                <w:iCs w:val="0"/>
                <w:color w:val="000000"/>
                <w:sz w:val="21"/>
                <w:szCs w:val="21"/>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rPr>
              <w:suppressLineNumbers w:val="0"/>
            </w:pPr>
            <w:r>
              <w:rPr>
                <w:rFonts w:hint="eastAsia" w:ascii="黑体" w:hAnsi="宋体" w:eastAsia="黑体" w:cs="黑体"/>
                <w:b w:val="0"/>
                <w:bCs w:val="0"/>
                <w:i w:val="0"/>
                <w:iCs w:val="0"/>
                <w:color w:val="000000"/>
                <w:sz w:val="21"/>
                <w:szCs w:val="21"/>
                <w:u w:val="none"/>
                <w:lang w:val="en-US" w:eastAsia="zh-CN"/>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跑步机</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腹肌板</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杠铃组</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哑铃组</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综合健身设备</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健身自行车</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卷腹器</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台球桌</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rPr>
              <w:suppressLineNumbers w:val="0"/>
            </w:pPr>
            <w:r>
              <w:rPr>
                <w:rFonts w:hint="eastAsia" w:ascii="黑体" w:hAnsi="宋体" w:eastAsia="黑体" w:cs="黑体"/>
                <w:b w:val="0"/>
                <w:bCs w:val="0"/>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乒乓球桌</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bl>
    <w:p>
      <w:pPr>
        <w:jc w:val="center"/>
        <w:rPr>
          <w:rFonts w:ascii="宋体" w:hAnsi="宋体"/>
          <w:sz w:val="24"/>
          <w:szCs w:val="24"/>
        </w:rPr>
      </w:pPr>
      <w:r>
        <w:rPr>
          <w:rFonts w:ascii="宋体" w:hAnsi="宋体"/>
          <w:sz w:val="24"/>
          <w:szCs w:val="24"/>
        </w:rPr>
      </w:r>
      <w:r/>
    </w:p>
    <w:p>
      <w:pPr>
        <w:pStyle w:val="846"/>
        <w:ind w:right="57"/>
        <w:jc w:val="both"/>
        <w:spacing w:beforeAutospacing="0" w:afterAutospacing="0"/>
        <w:rPr>
          <w:rFonts w:hint="eastAsia" w:ascii="宋体" w:hAnsi="宋体" w:eastAsiaTheme="minorEastAsia" w:cstheme="minorBidi"/>
          <w:sz w:val="22"/>
          <w:szCs w:val="22"/>
          <w:lang w:val="en-US" w:eastAsia="zh-CN" w:bidi="ar-SA"/>
        </w:rPr>
      </w:pPr>
      <w:r>
        <w:rPr>
          <w:rFonts w:hint="eastAsia" w:ascii="宋体" w:hAnsi="宋体" w:eastAsiaTheme="minorEastAsia" w:cstheme="minorBidi"/>
          <w:sz w:val="22"/>
          <w:szCs w:val="22"/>
          <w:lang w:val="en-US" w:eastAsia="zh-CN" w:bidi="ar-SA"/>
        </w:rPr>
        <w:t xml:space="preserve">备注：1、投标报价采用总承包方式，“投标总报价”应包括所投货物（包含与货物相关的服务）费用</w:t>
      </w:r>
      <w:r>
        <w:rPr>
          <w:rFonts w:hint="eastAsia" w:ascii="宋体" w:hAnsi="宋体" w:cstheme="minorBidi"/>
          <w:sz w:val="22"/>
          <w:szCs w:val="22"/>
          <w:lang w:val="en-US" w:eastAsia="zh-CN" w:bidi="ar-SA"/>
        </w:rPr>
        <w:t xml:space="preserve">，</w:t>
      </w:r>
      <w:r>
        <w:rPr>
          <w:rFonts w:hint="eastAsia" w:ascii="宋体" w:hAnsi="宋体" w:eastAsiaTheme="minorEastAsia" w:cstheme="minorBidi"/>
          <w:sz w:val="22"/>
          <w:szCs w:val="22"/>
          <w:lang w:val="en-US" w:eastAsia="en-US" w:bidi="ar-SA"/>
        </w:rPr>
        <w:t xml:space="preserve">直接和间接成本费、劳务费、清洁费、包装费、采购费、运杂费（含运输费）、装卸费</w:t>
      </w:r>
      <w:r>
        <w:rPr>
          <w:rFonts w:hint="eastAsia" w:ascii="宋体" w:hAnsi="宋体" w:eastAsiaTheme="minorEastAsia" w:cstheme="minorBidi"/>
          <w:sz w:val="22"/>
          <w:szCs w:val="22"/>
          <w:lang w:val="en-US" w:eastAsia="zh-CN" w:bidi="ar-SA"/>
        </w:rPr>
        <w:t xml:space="preserve">（含上下力资）</w:t>
      </w:r>
      <w:r>
        <w:rPr>
          <w:rFonts w:hint="eastAsia" w:ascii="宋体" w:hAnsi="宋体" w:eastAsiaTheme="minorEastAsia" w:cstheme="minorBidi"/>
          <w:sz w:val="22"/>
          <w:szCs w:val="22"/>
          <w:lang w:val="en-US" w:eastAsia="en-US" w:bidi="ar-SA"/>
        </w:rPr>
        <w:t xml:space="preserve">、保险费、保修费、管理费、安装费、调试费、三年质量保修期内维保</w:t>
      </w:r>
      <w:r>
        <w:rPr>
          <w:rFonts w:hint="eastAsia" w:ascii="宋体" w:hAnsi="宋体" w:cstheme="minorBidi"/>
          <w:sz w:val="22"/>
          <w:szCs w:val="22"/>
          <w:lang w:val="en-US" w:eastAsia="zh-CN" w:bidi="ar-SA"/>
        </w:rPr>
        <w:t xml:space="preserve">、</w:t>
      </w:r>
      <w:r>
        <w:rPr>
          <w:rFonts w:hint="eastAsia" w:ascii="宋体" w:hAnsi="宋体" w:eastAsiaTheme="minorEastAsia" w:cstheme="minorBidi"/>
          <w:sz w:val="22"/>
          <w:szCs w:val="22"/>
          <w:lang w:val="en-US" w:eastAsia="en-US" w:bidi="ar-SA"/>
        </w:rPr>
        <w:t xml:space="preserve">售后服务费、投标费用、税金、利润、风险费、成品保护费、不可预见费及其他一切相关费用等所需的全部费用</w:t>
      </w:r>
      <w:r>
        <w:rPr>
          <w:rFonts w:hint="eastAsia" w:ascii="宋体" w:hAnsi="宋体" w:eastAsiaTheme="minorEastAsia" w:cstheme="minorBidi"/>
          <w:sz w:val="22"/>
          <w:szCs w:val="22"/>
          <w:lang w:val="en-US" w:eastAsia="zh-CN" w:bidi="ar-SA"/>
        </w:rPr>
        <w:t xml:space="preserve">，招标文件中另有规定的除外。</w:t>
      </w:r>
      <w:r/>
    </w:p>
    <w:p>
      <w:pPr>
        <w:pStyle w:val="846"/>
        <w:ind w:right="57" w:firstLine="440"/>
        <w:jc w:val="both"/>
        <w:spacing w:beforeAutospacing="0" w:afterAutospacing="0"/>
        <w:rPr>
          <w:rFonts w:hint="eastAsia" w:ascii="宋体" w:hAnsi="宋体" w:eastAsiaTheme="minorEastAsia" w:cstheme="minorBidi"/>
          <w:sz w:val="22"/>
          <w:szCs w:val="22"/>
          <w:lang w:val="en-US" w:eastAsia="en-US" w:bidi="ar-SA"/>
        </w:rPr>
      </w:pPr>
      <w:r>
        <w:rPr>
          <w:rFonts w:hint="eastAsia" w:ascii="宋体" w:hAnsi="宋体" w:eastAsiaTheme="minorEastAsia" w:cstheme="minorBidi"/>
          <w:sz w:val="22"/>
          <w:szCs w:val="22"/>
          <w:lang w:val="en-US" w:eastAsia="zh-CN" w:bidi="ar-SA"/>
        </w:rPr>
        <w:t xml:space="preserve">2、</w:t>
      </w:r>
      <w:r>
        <w:rPr>
          <w:rFonts w:hint="eastAsia" w:ascii="宋体" w:hAnsi="宋体" w:eastAsiaTheme="minorEastAsia" w:cstheme="minorBidi"/>
          <w:sz w:val="22"/>
          <w:szCs w:val="22"/>
          <w:lang w:val="en-US" w:eastAsia="en-US" w:bidi="ar-SA"/>
        </w:rPr>
        <w:t xml:space="preserve">本项目采用固定全费用综合单价（即将所有费用均摊销至各综合单价中）。合同实施过程及结算时，中标的综合单价一律不作调整，按实际供货数量结算。</w:t>
      </w:r>
      <w:r/>
    </w:p>
    <w:p>
      <w:pPr>
        <w:pStyle w:val="846"/>
        <w:ind w:right="57" w:firstLine="440"/>
        <w:jc w:val="both"/>
        <w:spacing w:beforeAutospacing="0" w:afterAutospacing="0"/>
        <w:rPr>
          <w:rFonts w:hint="default" w:ascii="宋体" w:hAnsi="宋体" w:eastAsiaTheme="minorEastAsia" w:cstheme="minorBidi"/>
          <w:sz w:val="22"/>
          <w:szCs w:val="22"/>
          <w:lang w:val="en-US" w:eastAsia="zh-CN" w:bidi="ar-SA"/>
        </w:rPr>
      </w:pPr>
      <w:r>
        <w:rPr>
          <w:rFonts w:hint="eastAsia" w:ascii="宋体" w:hAnsi="宋体" w:eastAsiaTheme="minorEastAsia" w:cstheme="minorBidi"/>
          <w:sz w:val="22"/>
          <w:szCs w:val="22"/>
          <w:lang w:val="en-US" w:eastAsia="zh-CN" w:bidi="ar-SA"/>
        </w:rPr>
        <w:t xml:space="preserve">3、办公桌椅、会议桌椅、汇报厅座椅、床、货架、网箱、餐桌、密码柜在采购前，需携带样品结合现场实际情况进行安装测试，经甲方确认符合招标文件要求后方可量采。</w:t>
      </w:r>
      <w:r/>
    </w:p>
    <w:p>
      <w:pPr>
        <w:pStyle w:val="846"/>
        <w:jc w:val="both"/>
        <w:spacing w:beforeAutospacing="0" w:afterAutospacing="0"/>
        <w:rPr>
          <w:sz w:val="22"/>
          <w:szCs w:val="22"/>
          <w:highlight w:val="none"/>
          <w:shd w:val="clear" w:color="auto" w:fill="auto"/>
        </w:rPr>
      </w:pPr>
      <w:r>
        <w:rPr>
          <w:sz w:val="22"/>
          <w:szCs w:val="22"/>
          <w:highlight w:val="none"/>
          <w:shd w:val="clear" w:color="auto" w:fill="auto"/>
        </w:rPr>
      </w:r>
      <w:r/>
    </w:p>
    <w:p>
      <w:pPr>
        <w:jc w:val="right"/>
        <w:rPr>
          <w:rFonts w:ascii="宋体" w:hAnsi="宋体"/>
          <w:sz w:val="22"/>
          <w:szCs w:val="22"/>
        </w:rPr>
      </w:pPr>
      <w:r>
        <w:rPr>
          <w:rFonts w:hint="eastAsia" w:ascii="宋体" w:hAnsi="宋体"/>
          <w:sz w:val="22"/>
          <w:szCs w:val="22"/>
        </w:rPr>
        <w:t xml:space="preserve">投标人全称（加盖公章）：</w:t>
      </w:r>
      <w:r/>
    </w:p>
    <w:p>
      <w:pPr>
        <w:jc w:val="right"/>
        <w:rPr>
          <w:rFonts w:hint="eastAsia" w:ascii="宋体" w:hAnsi="宋体"/>
          <w:sz w:val="22"/>
          <w:szCs w:val="22"/>
        </w:rPr>
      </w:pPr>
      <w:r>
        <w:rPr>
          <w:rFonts w:hint="eastAsia" w:ascii="宋体" w:hAnsi="宋体"/>
          <w:sz w:val="22"/>
          <w:szCs w:val="22"/>
        </w:rPr>
        <w:t xml:space="preserve">法定代表人或授权代表签字：</w:t>
      </w:r>
      <w:r/>
    </w:p>
    <w:p>
      <w:pPr>
        <w:jc w:val="right"/>
        <w:spacing w:line="360" w:lineRule="auto"/>
        <w:rPr>
          <w:rFonts w:ascii="宋体" w:hAnsi="宋体"/>
          <w:sz w:val="22"/>
          <w:szCs w:val="22"/>
        </w:rPr>
      </w:pPr>
      <w:r>
        <w:rPr>
          <w:rFonts w:hint="eastAsia" w:ascii="宋体" w:hAnsi="宋体"/>
          <w:sz w:val="22"/>
          <w:szCs w:val="22"/>
        </w:rPr>
        <w:t xml:space="preserve">日期：</w:t>
      </w:r>
      <w:r/>
    </w:p>
    <w:p>
      <w:pPr>
        <w:pStyle w:val="846"/>
        <w:jc w:val="both"/>
        <w:spacing w:beforeAutospacing="0" w:afterAutospacing="0"/>
        <w:rPr>
          <w:highlight w:val="none"/>
          <w:shd w:val="clear" w:color="auto" w:fill="auto"/>
        </w:rPr>
      </w:pPr>
      <w:r>
        <w:rPr>
          <w:highlight w:val="none"/>
          <w:shd w:val="clear" w:color="auto" w:fill="auto"/>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r>
      <w:r/>
    </w:p>
    <w:p>
      <w:pPr>
        <w:pStyle w:val="846"/>
        <w:jc w:val="both"/>
        <w:spacing w:beforeAutospacing="0" w:afterAutospacing="0"/>
        <w:rPr>
          <w:highlight w:val="none"/>
        </w:rPr>
      </w:pPr>
      <w:r>
        <w:rPr>
          <w:highlight w:val="none"/>
        </w:rPr>
      </w:r>
      <w:r/>
    </w:p>
    <w:p>
      <w:pPr>
        <w:pStyle w:val="846"/>
        <w:jc w:val="both"/>
        <w:spacing w:beforeAutospacing="0" w:afterAutospacing="0"/>
        <w:rPr>
          <w:highlight w:val="none"/>
        </w:rPr>
      </w:pPr>
      <w:r>
        <w:rPr>
          <w:highlight w:val="none"/>
        </w:rPr>
      </w:r>
      <w:r/>
    </w:p>
    <w:p>
      <w:pPr>
        <w:pStyle w:val="846"/>
        <w:jc w:val="both"/>
        <w:spacing w:beforeAutospacing="0" w:afterAutospacing="0"/>
        <w:rPr>
          <w:highlight w:val="none"/>
        </w:rPr>
      </w:pPr>
      <w:r>
        <w:rPr>
          <w:highlight w:val="none"/>
        </w:rPr>
      </w:r>
      <w:r/>
    </w:p>
    <w:p>
      <w:pPr>
        <w:pStyle w:val="859"/>
        <w:jc w:val="center"/>
        <w:rPr>
          <w:highlight w:val="none"/>
        </w:rPr>
      </w:pPr>
      <w:r>
        <w:rPr>
          <w:highlight w:val="none"/>
        </w:rPr>
      </w:r>
      <w:r/>
    </w:p>
    <w:p>
      <w:pPr>
        <w:pStyle w:val="859"/>
        <w:jc w:val="center"/>
        <w:rPr>
          <w:rFonts w:hint="eastAsia" w:ascii="黑体" w:eastAsia="黑体"/>
          <w:strike/>
          <w:highlight w:val="none"/>
          <w:lang w:eastAsia="zh-CN"/>
        </w:rPr>
      </w:pPr>
      <w:r>
        <w:rPr>
          <w:highlight w:val="none"/>
        </w:rPr>
        <w:t xml:space="preserve"> </w:t>
      </w:r>
      <w:r>
        <w:rPr>
          <w:rFonts w:ascii="黑体" w:eastAsia="黑体"/>
          <w:highlight w:val="none"/>
        </w:rPr>
        <w:t xml:space="preserve"> </w:t>
      </w:r>
      <w:r>
        <w:rPr>
          <w:rFonts w:hint="eastAsia" w:ascii="黑体" w:eastAsia="黑体"/>
          <w:highlight w:val="none"/>
        </w:rPr>
        <w:t xml:space="preserve">分项报价表</w:t>
      </w:r>
      <w:r>
        <w:rPr>
          <w:rFonts w:hint="eastAsia" w:ascii="黑体" w:eastAsia="黑体"/>
          <w:highlight w:val="none"/>
          <w:lang w:eastAsia="zh-CN"/>
        </w:rPr>
        <w:t xml:space="preserve">（</w:t>
      </w:r>
      <w:r>
        <w:rPr>
          <w:rFonts w:hint="eastAsia" w:ascii="黑体" w:eastAsia="黑体"/>
          <w:highlight w:val="none"/>
          <w:lang w:val="en-US" w:eastAsia="zh-CN"/>
        </w:rPr>
        <w:t xml:space="preserve">包件二</w:t>
      </w:r>
      <w:r>
        <w:rPr>
          <w:rFonts w:hint="eastAsia" w:ascii="黑体" w:eastAsia="黑体"/>
          <w:highlight w:val="none"/>
          <w:lang w:eastAsia="zh-CN"/>
        </w:rPr>
        <w:t xml:space="preserve">）</w:t>
      </w:r>
      <w:r/>
    </w:p>
    <w:p>
      <w:pPr>
        <w:pStyle w:val="852"/>
        <w:ind w:left="0" w:right="1470"/>
        <w:jc w:val="left"/>
        <w:rPr>
          <w:rFonts w:ascii="黑体" w:eastAsia="黑体"/>
          <w:u w:val="single"/>
        </w:rPr>
      </w:pPr>
      <w:r>
        <w:rPr>
          <w:rFonts w:ascii="黑体" w:eastAsia="黑体"/>
        </w:rPr>
        <w:t xml:space="preserve">项目名称：</w:t>
      </w:r>
      <w:r>
        <w:rPr>
          <w:rFonts w:ascii="黑体" w:eastAsia="黑体"/>
          <w:u w:val="single"/>
        </w:rPr>
        <w:t xml:space="preserve">                         </w:t>
      </w:r>
      <w:r/>
    </w:p>
    <w:p>
      <w:pPr>
        <w:pStyle w:val="852"/>
        <w:ind w:left="0" w:right="1470"/>
        <w:jc w:val="right"/>
        <w:rPr>
          <w:rFonts w:ascii="黑体" w:eastAsia="黑体"/>
        </w:rPr>
      </w:pPr>
      <w:r>
        <w:rPr>
          <w:rFonts w:ascii="黑体" w:eastAsia="黑体"/>
        </w:rPr>
        <w:t xml:space="preserve">人民币：元</w:t>
      </w:r>
      <w:r/>
    </w:p>
    <w:p>
      <w:pPr>
        <w:pStyle w:val="846"/>
        <w:jc w:val="both"/>
        <w:spacing w:beforeAutospacing="0" w:afterAutospacing="0"/>
        <w:rPr>
          <w:highlight w:val="none"/>
        </w:rPr>
      </w:pPr>
      <w:r>
        <w:rPr>
          <w:highlight w:val="none"/>
        </w:rPr>
        <w:t xml:space="preserve"> </w:t>
      </w:r>
      <w:r/>
    </w:p>
    <w:tbl>
      <w:tblPr>
        <w:tblStyle w:val="837"/>
        <w:tblW w:w="10026" w:type="dxa"/>
        <w:tblInd w:w="-15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0"/>
        <w:gridCol w:w="2357"/>
        <w:gridCol w:w="1898"/>
        <w:gridCol w:w="1211"/>
        <w:gridCol w:w="1156"/>
        <w:gridCol w:w="1200"/>
        <w:gridCol w:w="1244"/>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t xml:space="preserve">所投产品品牌(或生产企业)</w:t>
            </w:r>
            <w:r/>
          </w:p>
          <w:p>
            <w:pPr>
              <w:jc w:val="center"/>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t xml:space="preserve">及型号</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lang w:val="en-US" w:eastAsia="zh-CN"/>
              </w:rPr>
              <w:t xml:space="preserve">合价</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大2匹挂机</w:t>
            </w:r>
            <w:r/>
          </w:p>
        </w:tc>
        <w:tc>
          <w:tcPr>
            <w:shd w:val="clear" w:color="auto" w:fill="auto"/>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立式柜机 大3P</w:t>
            </w:r>
            <w:r/>
          </w:p>
        </w:tc>
        <w:tc>
          <w:tcPr>
            <w:shd w:val="clear" w:color="auto" w:fill="auto"/>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中央空调1拖3，大机口不小于2匹</w:t>
            </w:r>
            <w:r/>
          </w:p>
        </w:tc>
        <w:tc>
          <w:tcPr>
            <w:shd w:val="clear" w:color="auto" w:fill="auto"/>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left"/>
              <w:keepLines w:val="0"/>
              <w:keepNext w:val="0"/>
              <w:widowControl/>
              <w:rPr>
                <w:rFonts w:hint="eastAsia" w:ascii="黑体" w:hAnsi="宋体" w:eastAsia="黑体" w:cs="黑体"/>
                <w:b w:val="0"/>
                <w:bCs w:val="0"/>
                <w:i w:val="0"/>
                <w:iCs w:val="0"/>
                <w:color w:val="000000"/>
                <w:sz w:val="18"/>
                <w:szCs w:val="18"/>
                <w:u w:val="none"/>
              </w:rPr>
              <w:suppressLineNumbers w:val="0"/>
            </w:pPr>
            <w:r>
              <w:rPr>
                <w:rFonts w:hint="eastAsia" w:ascii="黑体" w:hAnsi="宋体" w:eastAsia="黑体" w:cs="黑体"/>
                <w:b w:val="0"/>
                <w:bCs w:val="0"/>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1"/>
                <w:szCs w:val="21"/>
                <w:u w:val="none"/>
                <w:lang w:val="en-US" w:eastAsia="zh-CN" w:bidi="ar"/>
              </w:rPr>
              <w:suppressLineNumbers w:val="0"/>
            </w:pPr>
            <w:r>
              <w:rPr>
                <w:rFonts w:hint="eastAsia" w:ascii="黑体" w:hAnsi="宋体" w:eastAsia="黑体" w:cs="黑体"/>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1"/>
                <w:szCs w:val="21"/>
                <w:u w:val="none"/>
              </w:rPr>
              <w:suppressLineNumbers w:val="0"/>
            </w:pPr>
            <w:r>
              <w:rPr>
                <w:rFonts w:hint="eastAsia" w:ascii="黑体" w:hAnsi="宋体" w:eastAsia="黑体" w:cs="黑体"/>
                <w:b w:val="0"/>
                <w:bCs w:val="0"/>
                <w:i w:val="0"/>
                <w:iCs w:val="0"/>
                <w:color w:val="000000"/>
                <w:sz w:val="21"/>
                <w:szCs w:val="21"/>
                <w:u w:val="none"/>
              </w:rPr>
            </w:r>
            <w:r/>
          </w:p>
        </w:tc>
      </w:tr>
    </w:tbl>
    <w:p>
      <w:pPr>
        <w:pStyle w:val="846"/>
        <w:ind w:right="57"/>
        <w:jc w:val="both"/>
        <w:spacing w:beforeAutospacing="0" w:afterAutospacing="0"/>
        <w:rPr>
          <w:rFonts w:hint="eastAsia" w:ascii="宋体" w:hAnsi="宋体" w:eastAsiaTheme="minorEastAsia" w:cstheme="minorBidi"/>
          <w:sz w:val="22"/>
          <w:szCs w:val="22"/>
          <w:lang w:val="en-US" w:eastAsia="zh-CN" w:bidi="ar-SA"/>
        </w:rPr>
      </w:pPr>
      <w:r>
        <w:rPr>
          <w:rFonts w:hint="eastAsia" w:ascii="宋体" w:hAnsi="宋体" w:eastAsiaTheme="minorEastAsia" w:cstheme="minorBidi"/>
          <w:sz w:val="22"/>
          <w:szCs w:val="22"/>
          <w:lang w:val="en-US" w:eastAsia="zh-CN" w:bidi="ar-SA"/>
        </w:rPr>
        <w:t xml:space="preserve">备注：1、投标报价采用总承包方式，“投标总报价”应包括所投货物（包含与货物相关的服务）费用</w:t>
      </w:r>
      <w:r>
        <w:rPr>
          <w:rFonts w:hint="eastAsia" w:ascii="宋体" w:hAnsi="宋体" w:eastAsiaTheme="minorEastAsia" w:cstheme="minorBidi"/>
          <w:sz w:val="22"/>
          <w:szCs w:val="22"/>
          <w:lang w:val="en-US" w:eastAsia="en-US" w:bidi="ar-SA"/>
        </w:rPr>
        <w:t xml:space="preserve">（含全套</w:t>
      </w:r>
      <w:r>
        <w:rPr>
          <w:rFonts w:hint="eastAsia" w:ascii="宋体" w:hAnsi="宋体" w:eastAsiaTheme="minorEastAsia" w:cstheme="minorBidi"/>
          <w:sz w:val="22"/>
          <w:szCs w:val="22"/>
          <w:lang w:val="en-US" w:eastAsia="zh-CN" w:bidi="ar-SA"/>
        </w:rPr>
        <w:t xml:space="preserve">空调内外及机空调外机机架</w:t>
      </w:r>
      <w:r>
        <w:rPr>
          <w:rFonts w:hint="eastAsia" w:ascii="宋体" w:hAnsi="宋体" w:eastAsiaTheme="minorEastAsia" w:cstheme="minorBidi"/>
          <w:sz w:val="22"/>
          <w:szCs w:val="22"/>
          <w:lang w:val="en-US" w:eastAsia="en-US" w:bidi="ar-SA"/>
        </w:rPr>
        <w:t xml:space="preserve">、配件、备品备件、专用工具、技术资料等）、直接和间接成本费、劳务费、清洁费、包装费、采购费、运杂费（含运输费）、装卸费</w:t>
      </w:r>
      <w:r>
        <w:rPr>
          <w:rFonts w:hint="eastAsia" w:ascii="宋体" w:hAnsi="宋体" w:eastAsiaTheme="minorEastAsia" w:cstheme="minorBidi"/>
          <w:sz w:val="22"/>
          <w:szCs w:val="22"/>
          <w:lang w:val="en-US" w:eastAsia="zh-CN" w:bidi="ar-SA"/>
        </w:rPr>
        <w:t xml:space="preserve">（含上下力资）</w:t>
      </w:r>
      <w:r>
        <w:rPr>
          <w:rFonts w:hint="eastAsia" w:ascii="宋体" w:hAnsi="宋体" w:eastAsiaTheme="minorEastAsia" w:cstheme="minorBidi"/>
          <w:sz w:val="22"/>
          <w:szCs w:val="22"/>
          <w:lang w:val="en-US" w:eastAsia="en-US" w:bidi="ar-SA"/>
        </w:rPr>
        <w:t xml:space="preserve">、保险费、保修费、管理费、安装费</w:t>
      </w:r>
      <w:r>
        <w:rPr>
          <w:rFonts w:hint="eastAsia" w:ascii="宋体" w:hAnsi="宋体" w:eastAsiaTheme="minorEastAsia" w:cstheme="minorBidi"/>
          <w:sz w:val="22"/>
          <w:szCs w:val="22"/>
          <w:lang w:val="en-US" w:eastAsia="zh-CN" w:bidi="ar-SA"/>
        </w:rPr>
        <w:t xml:space="preserve">（含用户墙面空调洞打孔费）</w:t>
      </w:r>
      <w:r>
        <w:rPr>
          <w:rFonts w:hint="eastAsia" w:ascii="宋体" w:hAnsi="宋体" w:eastAsiaTheme="minorEastAsia" w:cstheme="minorBidi"/>
          <w:sz w:val="22"/>
          <w:szCs w:val="22"/>
          <w:lang w:val="en-US" w:eastAsia="en-US" w:bidi="ar-SA"/>
        </w:rPr>
        <w:t xml:space="preserve">、调试费、三年质量保修期内维保</w:t>
      </w:r>
      <w:r>
        <w:rPr>
          <w:rFonts w:hint="eastAsia" w:ascii="宋体" w:hAnsi="宋体" w:cstheme="minorBidi"/>
          <w:sz w:val="22"/>
          <w:szCs w:val="22"/>
          <w:lang w:val="en-US" w:eastAsia="zh-CN" w:bidi="ar-SA"/>
        </w:rPr>
        <w:t xml:space="preserve">、</w:t>
      </w:r>
      <w:r>
        <w:rPr>
          <w:rFonts w:hint="eastAsia" w:ascii="宋体" w:hAnsi="宋体" w:eastAsiaTheme="minorEastAsia" w:cstheme="minorBidi"/>
          <w:sz w:val="22"/>
          <w:szCs w:val="22"/>
          <w:lang w:val="en-US" w:eastAsia="en-US" w:bidi="ar-SA"/>
        </w:rPr>
        <w:t xml:space="preserve">售后服务费、投标费用、税金、利润、风险费、成品保护费、不可预见费及其他一切相关费用等所需的全部费用</w:t>
      </w:r>
      <w:r>
        <w:rPr>
          <w:rFonts w:hint="eastAsia" w:ascii="宋体" w:hAnsi="宋体" w:eastAsiaTheme="minorEastAsia" w:cstheme="minorBidi"/>
          <w:sz w:val="22"/>
          <w:szCs w:val="22"/>
          <w:lang w:val="en-US" w:eastAsia="zh-CN" w:bidi="ar-SA"/>
        </w:rPr>
        <w:t xml:space="preserve">，招标文件中另有规定的除外。</w:t>
      </w:r>
      <w:r/>
    </w:p>
    <w:p>
      <w:pPr>
        <w:pStyle w:val="846"/>
        <w:numPr>
          <w:ilvl w:val="0"/>
          <w:numId w:val="0"/>
        </w:numPr>
        <w:ind w:firstLine="480"/>
        <w:jc w:val="both"/>
        <w:spacing w:beforeAutospacing="0" w:afterAutospacing="0"/>
        <w:rPr>
          <w:rFonts w:hint="eastAsia" w:ascii="宋体" w:hAnsi="宋体" w:eastAsiaTheme="minorEastAsia" w:cstheme="minorBidi"/>
          <w:sz w:val="22"/>
          <w:szCs w:val="22"/>
          <w:lang w:val="en-US" w:eastAsia="en-US" w:bidi="ar-SA"/>
        </w:rPr>
      </w:pPr>
      <w:r>
        <w:rPr>
          <w:rFonts w:hint="eastAsia" w:ascii="宋体" w:hAnsi="宋体" w:eastAsiaTheme="minorEastAsia" w:cstheme="minorBidi"/>
          <w:sz w:val="22"/>
          <w:szCs w:val="22"/>
          <w:lang w:val="en-US" w:eastAsia="zh-CN" w:bidi="ar-SA"/>
        </w:rPr>
        <w:t xml:space="preserve">2、</w:t>
      </w:r>
      <w:r>
        <w:rPr>
          <w:rFonts w:hint="eastAsia" w:ascii="宋体" w:hAnsi="宋体" w:eastAsiaTheme="minorEastAsia" w:cstheme="minorBidi"/>
          <w:sz w:val="22"/>
          <w:szCs w:val="22"/>
          <w:lang w:val="en-US" w:eastAsia="en-US" w:bidi="ar-SA"/>
        </w:rPr>
        <w:t xml:space="preserve">本项目采用固定全费用综合单价（即将所有费用均摊销至各综合单价中）。合同实施过程及结算时，中标的综合单价一律不作调整，按实际供货数量结算。</w:t>
      </w:r>
      <w:r/>
    </w:p>
    <w:p>
      <w:pPr>
        <w:pStyle w:val="846"/>
        <w:numPr>
          <w:ilvl w:val="0"/>
          <w:numId w:val="0"/>
        </w:numPr>
        <w:ind w:firstLine="480"/>
        <w:jc w:val="both"/>
        <w:spacing w:beforeAutospacing="0" w:afterAutospacing="0"/>
        <w:rPr>
          <w:rFonts w:hint="eastAsia" w:ascii="宋体" w:hAnsi="宋体" w:eastAsiaTheme="minorEastAsia" w:cstheme="minorBidi"/>
          <w:sz w:val="22"/>
          <w:szCs w:val="22"/>
          <w:lang w:val="en-US" w:eastAsia="zh-CN" w:bidi="ar-SA"/>
        </w:rPr>
      </w:pPr>
      <w:r>
        <w:rPr>
          <w:rFonts w:hint="eastAsia" w:ascii="宋体" w:hAnsi="宋体" w:eastAsiaTheme="minorEastAsia" w:cstheme="minorBidi"/>
          <w:sz w:val="22"/>
          <w:szCs w:val="22"/>
          <w:lang w:val="en-US" w:eastAsia="zh-CN" w:bidi="ar-SA"/>
        </w:rPr>
        <w:t xml:space="preserve">3、“投标分项报价表”中“投标总报价”数额应当与“开标一览表”中“投标总报价”数额一致。</w:t>
      </w:r>
      <w:r/>
    </w:p>
    <w:p>
      <w:pPr>
        <w:ind w:firstLine="480"/>
        <w:keepLines w:val="0"/>
        <w:keepNext w:val="0"/>
        <w:pageBreakBefore w:val="0"/>
        <w:spacing w:line="360" w:lineRule="exact"/>
        <w:widowControl w:val="off"/>
        <w:rPr>
          <w:rFonts w:hint="eastAsia" w:ascii="宋体" w:hAnsi="宋体" w:eastAsiaTheme="minorEastAsia" w:cstheme="minorBidi"/>
          <w:sz w:val="22"/>
          <w:szCs w:val="22"/>
          <w:lang w:val="en-US" w:eastAsia="en-US" w:bidi="ar-SA"/>
        </w:rPr>
      </w:pPr>
      <w:r>
        <w:rPr>
          <w:rFonts w:hint="eastAsia" w:ascii="宋体" w:hAnsi="宋体" w:eastAsiaTheme="minorEastAsia" w:cstheme="minorBidi"/>
          <w:sz w:val="22"/>
          <w:szCs w:val="22"/>
          <w:lang w:val="en-US" w:eastAsia="zh-CN" w:bidi="ar-SA"/>
        </w:rPr>
        <w:t xml:space="preserve">4、</w:t>
      </w:r>
      <w:r>
        <w:rPr>
          <w:rFonts w:hint="eastAsia" w:ascii="宋体" w:hAnsi="宋体" w:eastAsiaTheme="minorEastAsia" w:cstheme="minorBidi"/>
          <w:sz w:val="22"/>
          <w:szCs w:val="22"/>
          <w:lang w:val="en-US" w:eastAsia="en-US" w:bidi="ar-SA"/>
        </w:rPr>
        <w:t xml:space="preserve">中标后经采购人确认后方可供货。</w:t>
      </w:r>
      <w:r/>
    </w:p>
    <w:p>
      <w:pPr>
        <w:pStyle w:val="846"/>
        <w:jc w:val="both"/>
        <w:spacing w:beforeAutospacing="0" w:afterAutospacing="0"/>
        <w:rPr>
          <w:sz w:val="22"/>
          <w:szCs w:val="22"/>
          <w:highlight w:val="none"/>
          <w:shd w:val="clear" w:color="auto" w:fill="auto"/>
        </w:rPr>
      </w:pPr>
      <w:r>
        <w:rPr>
          <w:sz w:val="22"/>
          <w:szCs w:val="22"/>
          <w:highlight w:val="none"/>
          <w:shd w:val="clear" w:color="auto" w:fill="auto"/>
        </w:rPr>
      </w:r>
      <w:r/>
    </w:p>
    <w:p>
      <w:pPr>
        <w:jc w:val="right"/>
        <w:rPr>
          <w:rFonts w:ascii="宋体" w:hAnsi="宋体"/>
          <w:sz w:val="22"/>
          <w:szCs w:val="22"/>
        </w:rPr>
      </w:pPr>
      <w:r>
        <w:rPr>
          <w:rFonts w:hint="eastAsia" w:ascii="宋体" w:hAnsi="宋体"/>
          <w:sz w:val="22"/>
          <w:szCs w:val="22"/>
        </w:rPr>
        <w:t xml:space="preserve">投标人全称（加盖公章）：</w:t>
      </w:r>
      <w:r/>
    </w:p>
    <w:p>
      <w:pPr>
        <w:jc w:val="right"/>
        <w:rPr>
          <w:rFonts w:hint="eastAsia" w:ascii="宋体" w:hAnsi="宋体"/>
          <w:sz w:val="22"/>
          <w:szCs w:val="22"/>
        </w:rPr>
      </w:pPr>
      <w:r>
        <w:rPr>
          <w:rFonts w:hint="eastAsia" w:ascii="宋体" w:hAnsi="宋体"/>
          <w:sz w:val="22"/>
          <w:szCs w:val="22"/>
        </w:rPr>
        <w:t xml:space="preserve">法定代表人或授权代表签字：</w:t>
      </w:r>
      <w:r/>
    </w:p>
    <w:p>
      <w:pPr>
        <w:jc w:val="right"/>
        <w:spacing w:line="360" w:lineRule="auto"/>
        <w:rPr>
          <w:rFonts w:ascii="宋体" w:hAnsi="宋体"/>
          <w:sz w:val="22"/>
          <w:szCs w:val="22"/>
        </w:rPr>
      </w:pPr>
      <w:r>
        <w:rPr>
          <w:rFonts w:hint="eastAsia" w:ascii="宋体" w:hAnsi="宋体"/>
          <w:sz w:val="22"/>
          <w:szCs w:val="22"/>
        </w:rPr>
        <w:t xml:space="preserve">日期：</w:t>
      </w:r>
      <w:r/>
    </w:p>
    <w:p>
      <w:pPr>
        <w:pStyle w:val="846"/>
        <w:jc w:val="both"/>
        <w:spacing w:beforeAutospacing="0" w:afterAutospacing="0"/>
        <w:rPr>
          <w:highlight w:val="none"/>
        </w:rPr>
      </w:pPr>
      <w:r>
        <w:rPr>
          <w:highlight w:val="none"/>
        </w:rPr>
      </w:r>
      <w:r/>
    </w:p>
    <w:p>
      <w:pPr>
        <w:pStyle w:val="846"/>
        <w:jc w:val="both"/>
        <w:spacing w:beforeAutospacing="0" w:afterAutospacing="0"/>
        <w:rPr>
          <w:highlight w:val="none"/>
        </w:rPr>
      </w:pPr>
      <w:r>
        <w:rPr>
          <w:highlight w:val="none"/>
        </w:rPr>
      </w:r>
      <w:r/>
    </w:p>
    <w:p>
      <w:pPr>
        <w:pStyle w:val="846"/>
        <w:jc w:val="both"/>
        <w:spacing w:beforeAutospacing="0" w:afterAutospacing="0"/>
        <w:rPr>
          <w:highlight w:val="none"/>
        </w:rPr>
      </w:pPr>
      <w:r>
        <w:rPr>
          <w:highlight w:val="none"/>
        </w:rPr>
      </w:r>
      <w:r/>
    </w:p>
    <w:p>
      <w:pPr>
        <w:pStyle w:val="846"/>
        <w:jc w:val="both"/>
        <w:spacing w:beforeAutospacing="0" w:afterAutospacing="0"/>
        <w:rPr>
          <w:highlight w:val="none"/>
        </w:rPr>
      </w:pPr>
      <w:r>
        <w:rPr>
          <w:highlight w:val="none"/>
        </w:rPr>
      </w:r>
      <w:r/>
    </w:p>
    <w:p>
      <w:pPr>
        <w:pStyle w:val="846"/>
        <w:jc w:val="both"/>
        <w:spacing w:beforeAutospacing="0" w:afterAutospacing="0"/>
        <w:rPr>
          <w:highlight w:val="none"/>
        </w:rPr>
      </w:pPr>
      <w:r>
        <w:rPr>
          <w:highlight w:val="none"/>
        </w:rPr>
      </w:r>
      <w:r/>
    </w:p>
    <w:p>
      <w:pPr>
        <w:pStyle w:val="846"/>
        <w:jc w:val="both"/>
        <w:spacing w:beforeAutospacing="0" w:afterAutospacing="0"/>
        <w:rPr>
          <w:highlight w:val="none"/>
        </w:rPr>
      </w:pPr>
      <w:r>
        <w:rPr>
          <w:highlight w:val="none"/>
        </w:rPr>
      </w:r>
      <w:r/>
    </w:p>
    <w:p>
      <w:pPr>
        <w:pStyle w:val="846"/>
        <w:jc w:val="both"/>
        <w:spacing w:beforeAutospacing="0" w:afterAutospacing="0"/>
        <w:rPr>
          <w:highlight w:val="none"/>
        </w:rPr>
      </w:pPr>
      <w:r>
        <w:rPr>
          <w:highlight w:val="none"/>
        </w:rPr>
      </w:r>
      <w:r/>
    </w:p>
    <w:p>
      <w:pPr>
        <w:pStyle w:val="846"/>
        <w:jc w:val="both"/>
        <w:spacing w:beforeAutospacing="0" w:afterAutospacing="0"/>
        <w:rPr>
          <w:highlight w:val="none"/>
        </w:rPr>
      </w:pPr>
      <w:r>
        <w:rPr>
          <w:highlight w:val="none"/>
        </w:rPr>
      </w:r>
      <w:r/>
    </w:p>
    <w:p>
      <w:pPr>
        <w:pStyle w:val="846"/>
        <w:jc w:val="both"/>
        <w:spacing w:beforeAutospacing="0" w:afterAutospacing="0"/>
        <w:rPr>
          <w:highlight w:val="none"/>
        </w:rPr>
      </w:pPr>
      <w:r>
        <w:rPr>
          <w:highlight w:val="none"/>
        </w:rPr>
      </w:r>
      <w:r/>
    </w:p>
    <w:p>
      <w:pPr>
        <w:pStyle w:val="846"/>
        <w:jc w:val="both"/>
        <w:spacing w:beforeAutospacing="0" w:afterAutospacing="0"/>
        <w:rPr>
          <w:highlight w:val="none"/>
        </w:rPr>
      </w:pPr>
      <w:r>
        <w:rPr>
          <w:highlight w:val="none"/>
        </w:rPr>
      </w:r>
      <w:r/>
    </w:p>
    <w:p>
      <w:pPr>
        <w:pStyle w:val="846"/>
        <w:jc w:val="both"/>
        <w:spacing w:beforeAutospacing="0" w:afterAutospacing="0"/>
        <w:rPr>
          <w:highlight w:val="none"/>
        </w:rPr>
      </w:pPr>
      <w:r>
        <w:rPr>
          <w:highlight w:val="none"/>
        </w:rPr>
      </w:r>
      <w:r/>
    </w:p>
    <w:p>
      <w:pPr>
        <w:pStyle w:val="846"/>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6"/>
        <w:jc w:val="center"/>
        <w:spacing w:beforeAutospacing="0" w:afterAutospacing="0"/>
        <w:rPr>
          <w:rFonts w:hint="eastAsia" w:eastAsia="黑体"/>
          <w:highlight w:val="none"/>
          <w:lang w:eastAsia="zh-CN"/>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、技术要求响应及偏离表</w:t>
      </w:r>
      <w:r>
        <w:rPr>
          <w:rFonts w:hint="eastAsia" w:ascii="黑体" w:hAnsi="宋体" w:eastAsia="黑体" w:cs="黑体"/>
          <w:b/>
          <w:color w:val="000000"/>
          <w:sz w:val="32"/>
          <w:szCs w:val="32"/>
          <w:highlight w:val="none"/>
          <w:lang w:eastAsia="zh-CN"/>
        </w:rPr>
        <w:t xml:space="preserve">（</w:t>
      </w:r>
      <w:r>
        <w:rPr>
          <w:rFonts w:hint="eastAsia" w:ascii="黑体" w:hAnsi="宋体" w:eastAsia="黑体" w:cs="黑体"/>
          <w:b/>
          <w:color w:val="000000"/>
          <w:sz w:val="32"/>
          <w:szCs w:val="32"/>
          <w:highlight w:val="none"/>
          <w:lang w:val="en-US" w:eastAsia="zh-CN"/>
        </w:rPr>
        <w:t xml:space="preserve">包件*</w:t>
      </w:r>
      <w:r>
        <w:rPr>
          <w:rFonts w:hint="eastAsia" w:ascii="黑体" w:hAnsi="宋体" w:eastAsia="黑体" w:cs="黑体"/>
          <w:b/>
          <w:color w:val="000000"/>
          <w:sz w:val="32"/>
          <w:szCs w:val="32"/>
          <w:highlight w:val="none"/>
          <w:lang w:eastAsia="zh-CN"/>
        </w:rPr>
        <w:t xml:space="preserve">）</w:t>
      </w:r>
      <w:r/>
    </w:p>
    <w:tbl>
      <w:tblPr>
        <w:tblStyle w:val="837"/>
        <w:tblW w:w="9229"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033"/>
        <w:gridCol w:w="1822"/>
        <w:gridCol w:w="181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pStyle w:val="846"/>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jc w:val="center"/>
              <w:spacing w:beforeAutospacing="0" w:afterAutospacing="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正偏离、等同于或负偏离</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jc w:val="center"/>
              <w:spacing w:beforeAutospacing="0" w:afterAutospacing="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证明材料（如有）</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pStyle w:val="846"/>
              <w:jc w:val="center"/>
              <w:spacing w:beforeAutospacing="0" w:afterAutospacing="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46"/>
              <w:jc w:val="center"/>
              <w:spacing w:beforeAutospacing="0" w:afterAutospacing="0"/>
              <w:rPr>
                <w:highlight w:val="none"/>
              </w:rPr>
            </w:pPr>
            <w:r>
              <w:rPr>
                <w:highlight w:val="none"/>
              </w:rPr>
              <w:t xml:space="preserve"> </w:t>
            </w:r>
            <w:r/>
          </w:p>
        </w:tc>
      </w:tr>
    </w:tbl>
    <w:p>
      <w:pPr>
        <w:pStyle w:val="867"/>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注：</w:t>
      </w:r>
      <w:r>
        <w:rPr>
          <w:rFonts w:hint="eastAsia" w:eastAsia="宋体" w:cs="宋体"/>
          <w:i w:val="0"/>
          <w:iCs w:val="0"/>
          <w:color w:val="000000"/>
          <w:highlight w:val="none"/>
          <w:lang w:val="en-US" w:eastAsia="zh-CN"/>
        </w:rPr>
        <w:t xml:space="preserve">1、</w:t>
      </w:r>
      <w:r>
        <w:rPr>
          <w:rFonts w:hint="eastAsia" w:ascii="宋体" w:hAnsi="宋体" w:eastAsia="宋体" w:cs="宋体"/>
          <w:i w:val="0"/>
          <w:iCs w:val="0"/>
          <w:color w:val="000000"/>
          <w:highlight w:val="none"/>
        </w:rPr>
        <w:t xml:space="preserve">行数不够，可自行添加。</w:t>
      </w:r>
      <w:r/>
    </w:p>
    <w:p>
      <w:pPr>
        <w:ind w:firstLine="480"/>
        <w:spacing w:line="440" w:lineRule="exact"/>
        <w:rPr>
          <w:rFonts w:hint="eastAsia" w:ascii="宋体" w:hAnsi="宋体" w:cs="仿宋"/>
          <w:sz w:val="24"/>
          <w:szCs w:val="24"/>
          <w:highlight w:val="none"/>
        </w:rPr>
      </w:pPr>
      <w:r>
        <w:rPr>
          <w:rFonts w:hint="eastAsia" w:ascii="宋体" w:hAnsi="宋体" w:eastAsia="宋体" w:cs="宋体"/>
          <w:color w:val="000000"/>
          <w:sz w:val="24"/>
          <w:szCs w:val="24"/>
          <w:highlight w:val="none"/>
          <w:lang w:val="en-US" w:eastAsia="zh-CN" w:bidi="ar-SA"/>
        </w:rPr>
        <w:t xml:space="preserve">2、对照招标文件第四章采购需求全部内容，如有“正偏离、等同于、负偏离”条款，须在上表中描述，如与招标文件要求的条款一致可不描述（不描述视为与招标文件一致）。</w:t>
      </w:r>
      <w:r/>
    </w:p>
    <w:p>
      <w:pPr>
        <w:pStyle w:val="846"/>
        <w:jc w:val="center"/>
        <w:spacing w:beforeAutospacing="0" w:afterAutospacing="0"/>
        <w:rPr>
          <w:highlight w:val="none"/>
        </w:rPr>
      </w:pPr>
      <w:r>
        <w:rPr>
          <w:highlight w:val="none"/>
        </w:rPr>
        <w:t xml:space="preserve"> </w:t>
      </w:r>
      <w:r/>
    </w:p>
    <w:p>
      <w:pPr>
        <w:pStyle w:val="846"/>
        <w:jc w:val="center"/>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t xml:space="preserve"> </w:t>
      </w:r>
      <w:r/>
    </w:p>
    <w:p>
      <w:pPr>
        <w:pStyle w:val="846"/>
        <w:jc w:val="both"/>
        <w:spacing w:beforeAutospacing="0" w:afterAutospacing="0"/>
        <w:rPr>
          <w:highlight w:val="none"/>
        </w:rPr>
      </w:pPr>
      <w:r>
        <w:rPr>
          <w:highlight w:val="none"/>
        </w:rPr>
      </w:r>
      <w:r/>
    </w:p>
    <w:p>
      <w:pPr>
        <w:pStyle w:val="846"/>
        <w:jc w:val="both"/>
        <w:spacing w:beforeAutospacing="0" w:afterAutospacing="0"/>
        <w:rPr>
          <w:highlight w:val="none"/>
        </w:rPr>
      </w:pPr>
      <w:r>
        <w:rPr>
          <w:highlight w:val="none"/>
        </w:rPr>
      </w:r>
      <w:r/>
    </w:p>
    <w:p>
      <w:pPr>
        <w:pStyle w:val="846"/>
        <w:jc w:val="both"/>
        <w:spacing w:beforeAutospacing="0" w:afterAutospacing="0"/>
        <w:rPr>
          <w:highlight w:val="none"/>
        </w:rPr>
      </w:pPr>
      <w:r>
        <w:rPr>
          <w:highlight w:val="none"/>
        </w:rPr>
      </w:r>
      <w:r/>
    </w:p>
    <w:p>
      <w:pPr>
        <w:pStyle w:val="846"/>
        <w:jc w:val="both"/>
        <w:spacing w:beforeAutospacing="0" w:afterAutospacing="0"/>
        <w:rPr>
          <w:highlight w:val="none"/>
        </w:rPr>
      </w:pPr>
      <w:r>
        <w:rPr>
          <w:highlight w:val="none"/>
        </w:rPr>
      </w:r>
      <w:r/>
    </w:p>
    <w:p>
      <w:pPr>
        <w:pStyle w:val="846"/>
        <w:jc w:val="both"/>
        <w:spacing w:beforeAutospacing="0" w:afterAutospacing="0"/>
        <w:rPr>
          <w:highlight w:val="none"/>
        </w:rPr>
      </w:pPr>
      <w:r>
        <w:rPr>
          <w:highlight w:val="none"/>
        </w:rPr>
      </w:r>
      <w:r/>
    </w:p>
    <w:p>
      <w:pPr>
        <w:pStyle w:val="846"/>
        <w:jc w:val="both"/>
        <w:spacing w:beforeAutospacing="0" w:afterAutospacing="0"/>
        <w:rPr>
          <w:highlight w:val="none"/>
        </w:rPr>
      </w:pPr>
      <w:r>
        <w:rPr>
          <w:highlight w:val="none"/>
        </w:rPr>
      </w:r>
      <w:r/>
    </w:p>
    <w:p>
      <w:pPr>
        <w:pStyle w:val="846"/>
        <w:jc w:val="both"/>
        <w:spacing w:beforeAutospacing="0" w:afterAutospacing="0"/>
        <w:rPr>
          <w:highlight w:val="none"/>
        </w:rPr>
      </w:pPr>
      <w:r>
        <w:rPr>
          <w:highlight w:val="none"/>
        </w:rPr>
      </w:r>
      <w:r/>
    </w:p>
    <w:p>
      <w:pPr>
        <w:pStyle w:val="846"/>
        <w:jc w:val="both"/>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46"/>
        <w:jc w:val="both"/>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bCs/>
          <w:color w:val="000000"/>
          <w:sz w:val="32"/>
          <w:szCs w:val="32"/>
          <w:highlight w:val="none"/>
        </w:rPr>
      </w:r>
      <w:r>
        <w:rPr>
          <w:rFonts w:hint="eastAsia" w:ascii="黑体" w:hAnsi="宋体" w:eastAsia="黑体" w:cs="黑体"/>
          <w:b/>
          <w:bCs/>
          <w:color w:val="000000"/>
          <w:sz w:val="32"/>
          <w:szCs w:val="32"/>
          <w:highlight w:val="none"/>
        </w:rPr>
      </w:r>
      <w:r/>
    </w:p>
    <w:p>
      <w:pPr>
        <w:pStyle w:val="846"/>
        <w:jc w:val="both"/>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bCs/>
          <w:color w:val="000000"/>
          <w:sz w:val="32"/>
          <w:szCs w:val="32"/>
          <w:highlight w:val="none"/>
        </w:rPr>
      </w:r>
      <w:r>
        <w:rPr>
          <w:rFonts w:hint="eastAsia" w:ascii="黑体" w:hAnsi="宋体" w:eastAsia="黑体" w:cs="黑体"/>
          <w:b/>
          <w:bCs/>
          <w:color w:val="000000"/>
          <w:sz w:val="32"/>
          <w:szCs w:val="32"/>
          <w:highlight w:val="none"/>
        </w:rPr>
      </w:r>
      <w:r/>
    </w:p>
    <w:p>
      <w:pPr>
        <w:pStyle w:val="846"/>
        <w:jc w:val="both"/>
        <w:spacing w:beforeAutospacing="0" w:afterAutospacing="0"/>
        <w:rPr>
          <w:rFonts w:hint="eastAsia" w:ascii="黑体" w:hAnsi="宋体" w:eastAsia="黑体" w:cs="黑体"/>
          <w:b/>
          <w:bCs/>
          <w:color w:val="000000"/>
          <w:sz w:val="32"/>
          <w:szCs w:val="32"/>
          <w:highlight w:val="none"/>
        </w:rPr>
      </w:pPr>
      <w:r/>
      <w:bookmarkStart w:id="183" w:name="_Hlt26955054"/>
      <w:r/>
      <w:r/>
    </w:p>
    <w:p>
      <w:pPr>
        <w:pStyle w:val="846"/>
        <w:jc w:val="center"/>
        <w:spacing w:beforeAutospacing="0" w:afterAutospacing="0"/>
        <w:rPr>
          <w:rFonts w:hint="eastAsia" w:eastAsia="黑体"/>
          <w:highlight w:val="none"/>
          <w:lang w:eastAsia="zh-CN"/>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、商务要求响应及偏离表</w:t>
      </w:r>
      <w:r>
        <w:rPr>
          <w:rFonts w:hint="eastAsia" w:ascii="黑体" w:hAnsi="宋体" w:eastAsia="黑体" w:cs="黑体"/>
          <w:b/>
          <w:color w:val="000000"/>
          <w:sz w:val="32"/>
          <w:szCs w:val="32"/>
          <w:highlight w:val="none"/>
          <w:lang w:eastAsia="zh-CN"/>
        </w:rPr>
        <w:t xml:space="preserve">（</w:t>
      </w:r>
      <w:r>
        <w:rPr>
          <w:rFonts w:hint="eastAsia" w:ascii="黑体" w:hAnsi="宋体" w:eastAsia="黑体" w:cs="黑体"/>
          <w:b/>
          <w:color w:val="000000"/>
          <w:sz w:val="32"/>
          <w:szCs w:val="32"/>
          <w:highlight w:val="none"/>
          <w:lang w:val="en-US" w:eastAsia="zh-CN"/>
        </w:rPr>
        <w:t xml:space="preserve">包件*</w:t>
      </w:r>
      <w:r>
        <w:rPr>
          <w:rFonts w:hint="eastAsia" w:ascii="黑体" w:hAnsi="宋体" w:eastAsia="黑体" w:cs="黑体"/>
          <w:b/>
          <w:color w:val="000000"/>
          <w:sz w:val="32"/>
          <w:szCs w:val="32"/>
          <w:highlight w:val="none"/>
          <w:lang w:eastAsia="zh-CN"/>
        </w:rPr>
        <w:t xml:space="preserve">）</w:t>
      </w:r>
      <w:r/>
    </w:p>
    <w:tbl>
      <w:tblPr>
        <w:tblStyle w:val="837"/>
        <w:tblW w:w="9021"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41"/>
        <w:gridCol w:w="3121"/>
        <w:gridCol w:w="1789"/>
        <w:gridCol w:w="1768"/>
        <w:gridCol w:w="1602"/>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46"/>
              <w:jc w:val="center"/>
              <w:spacing w:beforeAutospacing="0" w:afterAutospacing="0"/>
              <w:rPr>
                <w:b w:val="0"/>
                <w:bCs w:val="0"/>
                <w:highlight w:val="none"/>
              </w:rPr>
            </w:pPr>
            <w:r/>
            <w:bookmarkStart w:id="184" w:name="_Hlt26671372"/>
            <w:r/>
            <w:bookmarkStart w:id="185" w:name="_Hlt26782999"/>
            <w:r/>
            <w:bookmarkStart w:id="186" w:name="_Hlt26609391"/>
            <w:r/>
            <w:bookmarkStart w:id="187" w:name="_Hlt26671343"/>
            <w:r/>
            <w:bookmarkStart w:id="188" w:name="_Hlt26580838"/>
            <w:r/>
            <w:bookmarkStart w:id="189" w:name="_Hlt24879081"/>
            <w:r/>
            <w:bookmarkStart w:id="190" w:name="_Hlt26955064"/>
            <w:r/>
            <w:bookmarkStart w:id="191" w:name="_Hlt26955056"/>
            <w:r>
              <w:rPr>
                <w:rFonts w:hint="eastAsia" w:ascii="宋体" w:hAnsi="宋体" w:eastAsia="宋体" w:cs="宋体"/>
                <w:b w:val="0"/>
                <w:bCs w:val="0"/>
                <w:color w:val="000000"/>
                <w:highlight w:val="none"/>
              </w:rPr>
              <w:t xml:space="preserve">序号</w:t>
            </w:r>
            <w:bookmarkEnd w:id="184"/>
            <w:r/>
            <w:bookmarkEnd w:id="185"/>
            <w:r/>
            <w:bookmarkEnd w:id="186"/>
            <w:r/>
            <w:bookmarkEnd w:id="187"/>
            <w:r/>
            <w:bookmarkEnd w:id="188"/>
            <w:r/>
            <w:bookmarkEnd w:id="189"/>
            <w:r/>
            <w:bookmarkEnd w:id="190"/>
            <w:r/>
            <w:bookmarkEnd w:id="191"/>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4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pStyle w:val="846"/>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pStyle w:val="846"/>
              <w:jc w:val="center"/>
              <w:spacing w:beforeAutospacing="0" w:afterAutospacing="0"/>
              <w:rPr>
                <w:highlight w:val="none"/>
              </w:rPr>
            </w:pPr>
            <w:r>
              <w:rPr>
                <w:rFonts w:hint="eastAsia" w:ascii="宋体" w:hAnsi="宋体" w:eastAsia="宋体" w:cs="宋体"/>
                <w:color w:val="000000"/>
                <w:highlight w:val="none"/>
                <w:lang w:val="en-US" w:eastAsia="zh-CN"/>
              </w:rPr>
              <w:t xml:space="preserve">正偏离</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等同于</w:t>
            </w:r>
            <w:r>
              <w:rPr>
                <w:rFonts w:hint="eastAsia" w:ascii="宋体" w:hAnsi="宋体" w:eastAsia="宋体" w:cs="宋体"/>
                <w:color w:val="000000"/>
                <w:highlight w:val="none"/>
              </w:rPr>
              <w:t xml:space="preserve">或</w:t>
            </w:r>
            <w:r>
              <w:rPr>
                <w:rFonts w:hint="eastAsia" w:ascii="宋体" w:hAnsi="宋体" w:eastAsia="宋体" w:cs="宋体"/>
                <w:color w:val="000000"/>
                <w:highlight w:val="none"/>
                <w:lang w:val="en-US" w:eastAsia="zh-CN"/>
              </w:rPr>
              <w:t xml:space="preserve">负</w:t>
            </w:r>
            <w:r>
              <w:rPr>
                <w:rFonts w:hint="eastAsia" w:ascii="宋体" w:hAnsi="宋体" w:eastAsia="宋体" w:cs="宋体"/>
                <w:color w:val="000000"/>
                <w:highlight w:val="none"/>
              </w:rPr>
              <w:t xml:space="preserve">偏离</w:t>
            </w:r>
            <w:r/>
          </w:p>
        </w:tc>
        <w:tc>
          <w:tcPr>
            <w:shd w:val="clear" w:color="auto" w:fill="auto"/>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846"/>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证明材料</w:t>
            </w:r>
            <w:r/>
          </w:p>
          <w:p>
            <w:pPr>
              <w:pStyle w:val="846"/>
              <w:jc w:val="center"/>
              <w:spacing w:beforeAutospacing="0" w:afterAutospacing="0"/>
              <w:rPr>
                <w:rFonts w:hint="eastAsia" w:eastAsia="宋体"/>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46"/>
              <w:jc w:val="center"/>
              <w:spacing w:beforeAutospacing="0" w:afterAutospacing="0"/>
              <w:rPr>
                <w:b w:val="0"/>
                <w:bCs w:val="0"/>
                <w:highlight w:val="none"/>
              </w:rPr>
            </w:pPr>
            <w:r>
              <w:rPr>
                <w:rFonts w:hint="eastAsia"/>
                <w:b w:val="0"/>
                <w:bCs w:val="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46"/>
              <w:jc w:val="center"/>
              <w:spacing w:beforeAutospacing="0" w:afterAutospacing="0"/>
              <w:rPr>
                <w:rFonts w:hint="eastAsia" w:eastAsia="宋体"/>
                <w:b w:val="0"/>
                <w:bCs w:val="0"/>
                <w:highlight w:val="none"/>
                <w:lang w:eastAsia="zh-CN"/>
              </w:rPr>
            </w:pPr>
            <w:r>
              <w:rPr>
                <w:rFonts w:hint="eastAsia" w:ascii="宋体" w:hAnsi="宋体" w:eastAsia="宋体" w:cs="宋体"/>
                <w:b w:val="0"/>
                <w:bCs w:val="0"/>
                <w:lang w:val="en-US" w:eastAsia="en-US"/>
              </w:rPr>
              <w:t xml:space="preserve">质保</w:t>
            </w:r>
            <w:r>
              <w:rPr>
                <w:rFonts w:hint="eastAsia" w:ascii="宋体" w:hAnsi="宋体" w:eastAsia="宋体" w:cs="宋体"/>
                <w:b w:val="0"/>
                <w:bCs w:val="0"/>
                <w:lang w:val="en-US" w:eastAsia="zh-CN"/>
              </w:rPr>
              <w:t xml:space="preserve">保修期：</w:t>
            </w:r>
            <w:r>
              <w:rPr>
                <w:rFonts w:hint="eastAsia"/>
                <w:b w:val="0"/>
                <w:bCs w:val="0"/>
                <w:highlight w:val="none"/>
                <w:lang w:val="en-US" w:eastAsia="zh-CN"/>
              </w:rPr>
              <w:t xml:space="preserve">三年</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pStyle w:val="846"/>
              <w:jc w:val="center"/>
              <w:spacing w:beforeAutospacing="0" w:afterAutospacing="0"/>
              <w:rPr>
                <w:rFonts w:hint="eastAsia" w:eastAsiaTheme="minorEastAsia"/>
                <w:highlight w:val="none"/>
                <w:lang w:val="en-US" w:eastAsia="zh-CN"/>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46"/>
              <w:jc w:val="center"/>
              <w:spacing w:beforeAutospacing="0" w:afterAutospacing="0"/>
              <w:rPr>
                <w:rFonts w:hint="eastAsia" w:eastAsiaTheme="minorEastAsia"/>
                <w:b w:val="0"/>
                <w:bCs w:val="0"/>
                <w:highlight w:val="none"/>
                <w:lang w:val="en-US" w:eastAsia="zh-CN"/>
              </w:rPr>
            </w:pPr>
            <w:r>
              <w:rPr>
                <w:rFonts w:hint="eastAsia"/>
                <w:b w:val="0"/>
                <w:bCs w:val="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46"/>
              <w:jc w:val="center"/>
              <w:spacing w:beforeAutospacing="0" w:afterAutospacing="0"/>
              <w:rPr>
                <w:rFonts w:hint="eastAsia" w:eastAsiaTheme="minorEastAsia"/>
                <w:b w:val="0"/>
                <w:bCs w:val="0"/>
                <w:highlight w:val="none"/>
                <w:lang w:eastAsia="zh-CN"/>
              </w:rPr>
            </w:pPr>
            <w:r>
              <w:rPr>
                <w:rFonts w:hint="eastAsia" w:ascii="宋体" w:hAnsi="宋体" w:cs="宋体"/>
                <w:b w:val="0"/>
                <w:bCs w:val="0"/>
                <w:sz w:val="24"/>
                <w:szCs w:val="24"/>
                <w:highlight w:val="none"/>
              </w:rPr>
              <w:t xml:space="preserve">供货期限（含安装调试工期）</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single"/>
                <w:lang w:val="en-US" w:eastAsia="zh-CN"/>
              </w:rPr>
              <w:t xml:space="preserve">60</w:t>
            </w:r>
            <w:r>
              <w:rPr>
                <w:rFonts w:hint="eastAsia" w:ascii="宋体" w:hAnsi="宋体" w:cs="宋体"/>
                <w:b w:val="0"/>
                <w:bCs w:val="0"/>
                <w:sz w:val="24"/>
                <w:szCs w:val="24"/>
                <w:highlight w:val="none"/>
              </w:rPr>
              <w:t xml:space="preserve">日历天</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46"/>
              <w:jc w:val="center"/>
              <w:spacing w:beforeAutospacing="0" w:afterAutospacing="0"/>
              <w:rPr>
                <w:b w:val="0"/>
                <w:bCs w:val="0"/>
                <w:highlight w:val="none"/>
              </w:rPr>
            </w:pPr>
            <w:r>
              <w:rPr>
                <w:rFonts w:hint="eastAsia"/>
                <w:b w:val="0"/>
                <w:bCs w:val="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46"/>
              <w:jc w:val="center"/>
              <w:spacing w:beforeAutospacing="0" w:afterAutospacing="0"/>
              <w:rPr>
                <w:rFonts w:hint="eastAsia" w:eastAsiaTheme="minorEastAsia"/>
                <w:b w:val="0"/>
                <w:bCs w:val="0"/>
                <w:highlight w:val="none"/>
                <w:lang w:eastAsia="zh-CN"/>
              </w:rPr>
            </w:pPr>
            <w:r>
              <w:rPr>
                <w:rFonts w:hint="eastAsia"/>
                <w:b w:val="0"/>
                <w:bCs w:val="0"/>
                <w:highlight w:val="none"/>
                <w:lang w:val="en-US" w:eastAsia="zh-CN"/>
              </w:rPr>
              <w:t xml:space="preserve">质量标准</w:t>
            </w:r>
            <w:r>
              <w:rPr>
                <w:b w:val="0"/>
                <w:bCs w:val="0"/>
                <w:highlight w:val="none"/>
              </w:rPr>
              <w:t xml:space="preserve"> </w:t>
            </w:r>
            <w:r>
              <w:rPr>
                <w:rFonts w:hint="eastAsia"/>
                <w:b w:val="0"/>
                <w:bCs w:val="0"/>
                <w:highlight w:val="none"/>
                <w:lang w:eastAsia="zh-CN"/>
              </w:rPr>
              <w:t xml:space="preserve">：</w:t>
            </w:r>
            <w:r>
              <w:rPr>
                <w:rFonts w:hint="eastAsia"/>
                <w:b w:val="0"/>
                <w:bCs w:val="0"/>
                <w:highlight w:val="none"/>
                <w:lang w:val="en-US" w:eastAsia="zh-CN"/>
              </w:rPr>
              <w:t xml:space="preserve">合格</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pStyle w:val="846"/>
              <w:jc w:val="center"/>
              <w:spacing w:beforeAutospacing="0" w:afterAutospacing="0"/>
              <w:rPr>
                <w:rFonts w:hint="eastAsia" w:eastAsiaTheme="minorEastAsia"/>
                <w:highlight w:val="none"/>
                <w:lang w:val="en-US" w:eastAsia="zh-CN"/>
              </w:rPr>
            </w:pPr>
            <w:r>
              <w:rPr>
                <w:rFonts w:hint="eastAsia" w:eastAsiaTheme="minor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46"/>
              <w:jc w:val="center"/>
              <w:spacing w:beforeAutospacing="0" w:afterAutospacing="0"/>
              <w:rPr>
                <w:rFonts w:hint="eastAsia" w:eastAsiaTheme="minorEastAsia"/>
                <w:b w:val="0"/>
                <w:bCs w:val="0"/>
                <w:highlight w:val="none"/>
                <w:lang w:val="en-US" w:eastAsia="zh-CN"/>
              </w:rPr>
            </w:pPr>
            <w:r>
              <w:rPr>
                <w:rFonts w:hint="eastAsia"/>
                <w:b w:val="0"/>
                <w:bCs w:val="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jc w:val="center"/>
              <w:keepLines w:val="0"/>
              <w:keepNext w:val="0"/>
              <w:pageBreakBefore w:val="0"/>
              <w:spacing w:line="360" w:lineRule="auto"/>
              <w:shd w:val="clear" w:color="auto" w:fill="ffffff"/>
              <w:widowControl/>
              <w:tabs>
                <w:tab w:val="left" w:pos="630" w:leader="none"/>
              </w:tabs>
              <w:rPr>
                <w:rFonts w:hint="eastAsia" w:ascii="宋体" w:hAnsi="宋体" w:cs="宋体"/>
                <w:b w:val="0"/>
                <w:bCs w:val="0"/>
                <w:color w:val="auto"/>
                <w:sz w:val="24"/>
                <w:szCs w:val="24"/>
                <w:highlight w:val="none"/>
                <w:lang w:val="en-US" w:eastAsia="zh-CN"/>
              </w:rPr>
            </w:pPr>
            <w:r>
              <w:rPr>
                <w:rFonts w:hint="eastAsia"/>
                <w:b w:val="0"/>
                <w:bCs w:val="0"/>
                <w:highlight w:val="none"/>
                <w:lang w:val="en-US" w:eastAsia="zh-CN"/>
              </w:rPr>
              <w:t xml:space="preserve">付款方式</w:t>
            </w:r>
            <w:r>
              <w:rPr>
                <w:b w:val="0"/>
                <w:bCs w:val="0"/>
                <w:highlight w:val="none"/>
              </w:rPr>
              <w:t xml:space="preserve"> </w:t>
            </w:r>
            <w:r>
              <w:rPr>
                <w:rFonts w:hint="eastAsia"/>
                <w:b w:val="0"/>
                <w:bCs w:val="0"/>
                <w:highlight w:val="none"/>
                <w:lang w:eastAsia="zh-CN"/>
              </w:rPr>
              <w:t xml:space="preserve">：</w:t>
            </w:r>
            <w:r>
              <w:rPr>
                <w:rFonts w:hint="eastAsia" w:ascii="宋体" w:hAnsi="宋体" w:cs="宋体"/>
                <w:b w:val="0"/>
                <w:bCs w:val="0"/>
                <w:color w:val="auto"/>
                <w:sz w:val="24"/>
                <w:szCs w:val="24"/>
                <w:highlight w:val="none"/>
                <w:lang w:val="en-US" w:eastAsia="zh-CN"/>
              </w:rPr>
              <w:t xml:space="preserve">预付款支付时间：合同签订后，预付款支付比例：合同金额的30%，（中标人须提供合同总价30%的预付款银行保函）。签订合同时，乙方书面明确表示无需预付款的，甲方可不支付预付款。</w:t>
            </w:r>
            <w:r/>
          </w:p>
          <w:p>
            <w:pPr>
              <w:pStyle w:val="846"/>
              <w:jc w:val="center"/>
              <w:spacing w:beforeAutospacing="0" w:afterAutospacing="0"/>
              <w:rPr>
                <w:rFonts w:hint="eastAsia" w:eastAsiaTheme="minorEastAsia"/>
                <w:b w:val="0"/>
                <w:bCs w:val="0"/>
                <w:highlight w:val="none"/>
                <w:lang w:eastAsia="zh-CN"/>
              </w:rPr>
            </w:pPr>
            <w:r>
              <w:rPr>
                <w:rFonts w:hint="eastAsia" w:ascii="宋体" w:hAnsi="宋体" w:cs="宋体"/>
                <w:b w:val="0"/>
                <w:bCs w:val="0"/>
                <w:color w:val="auto"/>
                <w:sz w:val="24"/>
                <w:szCs w:val="24"/>
                <w:highlight w:val="none"/>
                <w:lang w:val="en-US" w:eastAsia="zh-CN"/>
              </w:rPr>
              <w:t xml:space="preserve">10.2尾款支付时间：中标人按要求将货物送到指定地点并完成安装调试，经采购人验收全部合格后付至合同款的80%;待验收合格满一年后付至合同款的90%，验收合格满二年后付至合同款的95%;余款待验收合格满三年后结清。（如有违约扣款的，按实际情况在合同款中扣除）</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46"/>
              <w:jc w:val="center"/>
              <w:spacing w:beforeAutospacing="0" w:afterAutospacing="0"/>
              <w:rPr>
                <w:b w:val="0"/>
                <w:bCs w:val="0"/>
                <w:highlight w:val="none"/>
              </w:rPr>
            </w:pPr>
            <w:r>
              <w:rPr>
                <w:rFonts w:hint="eastAsia"/>
                <w:b w:val="0"/>
                <w:bCs w:val="0"/>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46"/>
              <w:jc w:val="center"/>
              <w:spacing w:beforeAutospacing="0" w:afterAutospacing="0"/>
              <w:rPr>
                <w:b w:val="0"/>
                <w:bCs w:val="0"/>
                <w:highlight w:val="none"/>
              </w:rPr>
            </w:pPr>
            <w:r>
              <w:rPr>
                <w:rFonts w:hint="eastAsia" w:ascii="宋体" w:hAnsi="宋体" w:cs="宋体"/>
                <w:b w:val="0"/>
                <w:bCs w:val="0"/>
                <w:sz w:val="24"/>
                <w:szCs w:val="24"/>
                <w:lang w:val="en-US" w:eastAsia="zh-CN"/>
              </w:rPr>
              <w:t xml:space="preserve">投标报价不得高于最高限价：</w:t>
            </w:r>
            <w:r>
              <w:rPr>
                <w:rFonts w:hint="eastAsia" w:ascii="宋体" w:hAnsi="宋体" w:cs="宋体"/>
                <w:b w:val="0"/>
                <w:bCs w:val="0"/>
                <w:sz w:val="24"/>
                <w:szCs w:val="24"/>
              </w:rPr>
              <w:t xml:space="preserve">包件一人民币</w:t>
            </w:r>
            <w:r>
              <w:rPr>
                <w:rFonts w:hint="eastAsia" w:ascii="宋体" w:hAnsi="宋体" w:cs="宋体"/>
                <w:b w:val="0"/>
                <w:bCs w:val="0"/>
                <w:sz w:val="24"/>
                <w:szCs w:val="24"/>
                <w:lang w:val="en-US" w:eastAsia="zh-CN"/>
              </w:rPr>
              <w:t xml:space="preserve">280</w:t>
            </w:r>
            <w:r>
              <w:rPr>
                <w:rFonts w:hint="eastAsia" w:ascii="宋体" w:hAnsi="宋体" w:cs="宋体"/>
                <w:b w:val="0"/>
                <w:bCs w:val="0"/>
                <w:sz w:val="24"/>
                <w:szCs w:val="24"/>
              </w:rPr>
              <w:t xml:space="preserve">万元、包件二人民币</w:t>
            </w:r>
            <w:r>
              <w:rPr>
                <w:rFonts w:hint="eastAsia" w:ascii="宋体" w:hAnsi="宋体" w:cs="宋体"/>
                <w:b w:val="0"/>
                <w:bCs w:val="0"/>
                <w:sz w:val="24"/>
                <w:szCs w:val="24"/>
                <w:lang w:val="en-US" w:eastAsia="zh-CN"/>
              </w:rPr>
              <w:t xml:space="preserve">90</w:t>
            </w:r>
            <w:r>
              <w:rPr>
                <w:rFonts w:hint="eastAsia" w:ascii="宋体" w:hAnsi="宋体" w:cs="宋体"/>
                <w:b w:val="0"/>
                <w:bCs w:val="0"/>
                <w:sz w:val="24"/>
                <w:szCs w:val="24"/>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46"/>
              <w:jc w:val="center"/>
              <w:spacing w:beforeAutospacing="0" w:afterAutospacing="0"/>
              <w:rPr>
                <w:rFonts w:hint="eastAsia" w:eastAsiaTheme="minorEastAsia"/>
                <w:b w:val="0"/>
                <w:bCs w:val="0"/>
                <w:highlight w:val="none"/>
                <w:lang w:val="en-US" w:eastAsia="zh-CN"/>
              </w:rPr>
            </w:pPr>
            <w:r>
              <w:rPr>
                <w:rFonts w:hint="eastAsia"/>
                <w:b w:val="0"/>
                <w:bCs w:val="0"/>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46"/>
              <w:jc w:val="center"/>
              <w:spacing w:beforeAutospacing="0" w:afterAutospacing="0"/>
              <w:rPr>
                <w:b w:val="0"/>
                <w:bCs w:val="0"/>
                <w:highlight w:val="none"/>
              </w:rPr>
            </w:pPr>
            <w:r>
              <w:rPr>
                <w:rFonts w:hint="eastAsia" w:ascii="宋体" w:hAnsi="宋体" w:eastAsia="宋体" w:cs="宋体"/>
                <w:b w:val="0"/>
                <w:bCs w:val="0"/>
                <w:highlight w:val="none"/>
                <w:lang w:val="en-US" w:eastAsia="zh-CN"/>
              </w:rPr>
              <w:t xml:space="preserve">投标有效期90日历天</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8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46"/>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4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pStyle w:val="84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846"/>
              <w:jc w:val="center"/>
              <w:spacing w:beforeAutospacing="0" w:afterAutospacing="0"/>
              <w:rPr>
                <w:highlight w:val="none"/>
              </w:rPr>
            </w:pPr>
            <w:r>
              <w:rPr>
                <w:highlight w:val="none"/>
              </w:rPr>
              <w:t xml:space="preserve"> </w:t>
            </w:r>
            <w:r/>
          </w:p>
        </w:tc>
      </w:tr>
    </w:tbl>
    <w:p>
      <w:pPr>
        <w:pStyle w:val="846"/>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46"/>
        <w:jc w:val="both"/>
        <w:spacing w:beforeAutospacing="0" w:afterAutospacing="0" w:line="480" w:lineRule="auto"/>
        <w:rPr>
          <w:highlight w:val="none"/>
        </w:rPr>
      </w:pPr>
      <w:r>
        <w:rPr>
          <w:highlight w:val="none"/>
        </w:rPr>
        <w:t xml:space="preserve"> </w:t>
      </w:r>
      <w:r/>
    </w:p>
    <w:p>
      <w:pPr>
        <w:pStyle w:val="846"/>
        <w:jc w:val="both"/>
        <w:spacing w:beforeAutospacing="0" w:afterAutospacing="0" w:line="480" w:lineRule="auto"/>
        <w:rPr>
          <w:highlight w:val="none"/>
        </w:rPr>
      </w:pPr>
      <w:r>
        <w:rPr>
          <w:highlight w:val="none"/>
        </w:rPr>
        <w:t xml:space="preserve"> </w:t>
      </w:r>
      <w:r/>
    </w:p>
    <w:p>
      <w:pPr>
        <w:pStyle w:val="846"/>
        <w:jc w:val="center"/>
        <w:spacing w:beforeAutospacing="0" w:afterAutospacing="0"/>
        <w:rPr>
          <w:highlight w:val="none"/>
        </w:rPr>
      </w:pPr>
      <w:r/>
      <w:bookmarkStart w:id="192" w:name="_Hlt26955066"/>
      <w:r/>
      <w:bookmarkStart w:id="193" w:name="_Hlt26609389"/>
      <w:r/>
      <w:bookmarkStart w:id="194" w:name="_Toc462564146"/>
      <w:r/>
      <w:bookmarkStart w:id="195" w:name="_格式2__法定代表人授权书"/>
      <w:r/>
      <w:bookmarkStart w:id="196" w:name="_Hlt26671374"/>
      <w:r>
        <w:rPr>
          <w:highlight w:val="none"/>
        </w:rPr>
        <w:t xml:space="preserve"> </w:t>
      </w:r>
      <w:r/>
    </w:p>
    <w:p>
      <w:pPr>
        <w:pStyle w:val="846"/>
        <w:jc w:val="both"/>
        <w:spacing w:beforeAutospacing="0" w:afterAutospacing="0"/>
        <w:rPr>
          <w:rFonts w:hint="eastAsia" w:ascii="黑体" w:hAnsi="宋体" w:eastAsia="黑体" w:cs="黑体"/>
          <w:b/>
          <w:i/>
          <w:color w:val="000000"/>
          <w:sz w:val="32"/>
          <w:szCs w:val="32"/>
          <w:highlight w:val="none"/>
          <w:u w:val="single"/>
        </w:rPr>
      </w:pPr>
      <w:r>
        <w:rPr>
          <w:rFonts w:hint="eastAsia" w:ascii="黑体" w:hAnsi="宋体" w:eastAsia="黑体" w:cs="黑体"/>
          <w:b/>
          <w:i/>
          <w:color w:val="000000"/>
          <w:sz w:val="32"/>
          <w:szCs w:val="32"/>
          <w:highlight w:val="none"/>
          <w:u w:val="single"/>
        </w:rPr>
      </w:r>
      <w:r/>
    </w:p>
    <w:p>
      <w:pPr>
        <w:pStyle w:val="846"/>
        <w:jc w:val="center"/>
        <w:spacing w:beforeAutospacing="0" w:afterAutospacing="0"/>
        <w:rPr>
          <w:highlight w:val="none"/>
          <w:shd w:val="clear" w:color="auto" w:fill="auto"/>
        </w:rPr>
      </w:pPr>
      <w:r>
        <w:rPr>
          <w:rFonts w:hint="eastAsia" w:ascii="黑体" w:hAnsi="宋体" w:eastAsia="黑体" w:cs="黑体"/>
          <w:b/>
          <w:i/>
          <w:color w:val="000000"/>
          <w:sz w:val="32"/>
          <w:szCs w:val="32"/>
          <w:highlight w:val="none"/>
          <w:u w:val="single"/>
        </w:rPr>
        <w:t xml:space="preserve">十</w:t>
      </w:r>
      <w:r>
        <w:rPr>
          <w:rFonts w:hint="eastAsia" w:ascii="黑体" w:hAnsi="宋体" w:eastAsia="黑体" w:cs="黑体"/>
          <w:b/>
          <w:i/>
          <w:color w:val="000000"/>
          <w:sz w:val="32"/>
          <w:szCs w:val="32"/>
          <w:highlight w:val="none"/>
          <w:u w:val="single"/>
          <w:lang w:val="en-US" w:eastAsia="zh-CN"/>
        </w:rPr>
        <w:t xml:space="preserve">四</w:t>
      </w:r>
      <w:r>
        <w:rPr>
          <w:rFonts w:hint="eastAsia" w:ascii="黑体" w:hAnsi="宋体" w:eastAsia="黑体" w:cs="黑体"/>
          <w:b/>
          <w:i/>
          <w:color w:val="000000"/>
          <w:sz w:val="32"/>
          <w:szCs w:val="32"/>
          <w:highlight w:val="none"/>
          <w:u w:val="single"/>
        </w:rPr>
        <w:t xml:space="preserve">、开标一览表</w:t>
      </w:r>
      <w:r/>
    </w:p>
    <w:p>
      <w:pPr>
        <w:pStyle w:val="846"/>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846"/>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846"/>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p>
      <w:pPr>
        <w:pStyle w:val="846"/>
        <w:ind w:firstLine="480"/>
        <w:jc w:val="both"/>
        <w:spacing w:beforeAutospacing="0" w:afterAutospacing="0"/>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包件号：</w:t>
      </w:r>
      <w:r/>
    </w:p>
    <w:tbl>
      <w:tblPr>
        <w:tblStyle w:val="837"/>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46"/>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46"/>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46"/>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46"/>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核心产品品牌：</w:t>
            </w:r>
            <w:r/>
          </w:p>
        </w:tc>
      </w:tr>
    </w:tbl>
    <w:p>
      <w:pPr>
        <w:pStyle w:val="846"/>
        <w:jc w:val="both"/>
        <w:spacing w:beforeAutospacing="0" w:afterAutospacing="0"/>
        <w:rPr>
          <w:highlight w:val="none"/>
        </w:rPr>
      </w:pPr>
      <w:r>
        <w:rPr>
          <w:highlight w:val="none"/>
        </w:rPr>
        <w:t xml:space="preserve"> </w:t>
      </w:r>
      <w:r/>
    </w:p>
    <w:p>
      <w:pPr>
        <w:pStyle w:val="846"/>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846"/>
        <w:jc w:val="both"/>
        <w:spacing w:beforeAutospacing="0" w:afterAutospacing="0"/>
        <w:rPr>
          <w:highlight w:val="none"/>
        </w:rPr>
      </w:pPr>
      <w:r>
        <w:rPr>
          <w:highlight w:val="none"/>
        </w:rPr>
        <w:t xml:space="preserve"> </w:t>
      </w:r>
      <w:r/>
    </w:p>
    <w:p>
      <w:pPr>
        <w:pStyle w:val="84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6"/>
        <w:jc w:val="both"/>
        <w:spacing w:beforeAutospacing="0" w:afterAutospacing="0"/>
        <w:rPr>
          <w:rFonts w:hint="eastAsia" w:ascii="宋体" w:hAnsi="宋体" w:eastAsia="宋体" w:cs="宋体"/>
          <w:b/>
          <w:color w:val="000000"/>
          <w:sz w:val="32"/>
          <w:szCs w:val="32"/>
          <w:highlight w:val="none"/>
          <w:lang w:eastAsia="zh-CN"/>
        </w:rPr>
      </w:pPr>
      <w:r>
        <w:rPr>
          <w:rFonts w:hint="eastAsia" w:ascii="宋体" w:hAnsi="宋体" w:eastAsia="宋体" w:cs="宋体"/>
          <w:color w:val="000000"/>
          <w:spacing w:val="-1"/>
          <w:sz w:val="24"/>
          <w:szCs w:val="24"/>
          <w:lang w:val="en-US" w:eastAsia="zh-CN" w:bidi="ar-SA"/>
        </w:rPr>
        <w:t xml:space="preserve">注：</w:t>
      </w:r>
      <w:r>
        <w:rPr>
          <w:rFonts w:ascii="宋体" w:hAnsi="宋体" w:eastAsia="宋体" w:cs="宋体"/>
          <w:color w:val="000000"/>
          <w:spacing w:val="-1"/>
          <w:sz w:val="24"/>
          <w:szCs w:val="24"/>
          <w:lang w:val="en-US" w:eastAsia="en-US" w:bidi="ar-SA"/>
        </w:rPr>
        <w:t xml:space="preserve">开标一览表的格式及内容以苏采云系统中开标一览表为准</w:t>
      </w:r>
      <w:r>
        <w:rPr>
          <w:rFonts w:hint="eastAsia" w:ascii="宋体" w:hAnsi="宋体" w:eastAsia="宋体" w:cs="宋体"/>
          <w:color w:val="000000"/>
          <w:spacing w:val="-1"/>
          <w:sz w:val="24"/>
          <w:szCs w:val="24"/>
          <w:lang w:val="en-US" w:eastAsia="zh-CN" w:bidi="ar-SA"/>
        </w:rPr>
        <w:t xml:space="preserve">。</w:t>
      </w:r>
      <w:r/>
    </w:p>
    <w:p>
      <w:pPr>
        <w:pStyle w:val="84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6"/>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6"/>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6"/>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6"/>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6"/>
        <w:jc w:val="both"/>
        <w:spacing w:beforeAutospacing="0" w:afterAutospacing="0"/>
        <w:rPr>
          <w:rFonts w:ascii="宋体" w:hAnsi="宋体" w:eastAsia="宋体" w:cs="宋体"/>
          <w:b/>
          <w:bCs/>
          <w:color w:val="000000"/>
          <w:sz w:val="32"/>
          <w:szCs w:val="32"/>
          <w:highlight w:val="none"/>
        </w:rPr>
      </w:pPr>
      <w:r>
        <w:rPr>
          <w:rFonts w:ascii="宋体" w:hAnsi="宋体" w:eastAsia="宋体" w:cs="宋体"/>
          <w:b/>
          <w:color w:val="000000"/>
          <w:sz w:val="32"/>
          <w:szCs w:val="32"/>
          <w:highlight w:val="none"/>
        </w:rPr>
      </w:r>
      <w:r>
        <w:rPr>
          <w:rFonts w:ascii="宋体" w:hAnsi="宋体" w:eastAsia="宋体" w:cs="宋体"/>
          <w:b/>
          <w:color w:val="000000"/>
          <w:sz w:val="32"/>
          <w:szCs w:val="32"/>
          <w:highlight w:val="none"/>
        </w:rPr>
      </w:r>
      <w:r/>
    </w:p>
    <w:p>
      <w:pPr>
        <w:pStyle w:val="846"/>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6"/>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6"/>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6"/>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6"/>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6"/>
        <w:jc w:val="both"/>
        <w:spacing w:beforeAutospacing="0" w:afterAutospacing="0"/>
        <w:rPr>
          <w:rFonts w:ascii="宋体" w:hAnsi="宋体" w:eastAsia="宋体" w:cs="宋体"/>
          <w:b/>
          <w:bCs/>
          <w:color w:val="000000"/>
          <w:sz w:val="32"/>
          <w:szCs w:val="32"/>
          <w:highlight w:val="none"/>
        </w:rPr>
      </w:pPr>
      <w:r>
        <w:rPr>
          <w:rFonts w:ascii="宋体" w:hAnsi="宋体" w:eastAsia="宋体" w:cs="宋体"/>
          <w:b/>
          <w:color w:val="000000"/>
          <w:sz w:val="32"/>
          <w:szCs w:val="32"/>
          <w:highlight w:val="none"/>
        </w:rPr>
      </w:r>
      <w:r/>
    </w:p>
    <w:p>
      <w:pPr>
        <w:ind w:firstLine="1600"/>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五</w:t>
      </w:r>
      <w:r>
        <w:rPr>
          <w:rFonts w:hint="eastAsia" w:ascii="宋体" w:hAnsi="宋体" w:eastAsia="宋体" w:cs="宋体"/>
          <w:color w:val="000000"/>
          <w:sz w:val="32"/>
          <w:szCs w:val="32"/>
          <w:highlight w:val="none"/>
        </w:rPr>
        <w:t xml:space="preserve">、盐城市政府采购事前信用承诺书</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846"/>
        <w:jc w:val="center"/>
        <w:spacing w:beforeAutospacing="0" w:afterAutospacing="0"/>
        <w:rPr>
          <w:highlight w:val="none"/>
        </w:rPr>
      </w:pPr>
      <w:r>
        <w:rPr>
          <w:highlight w:val="none"/>
        </w:rPr>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5"/>
      <w:r/>
      <w:bookmarkEnd w:id="171"/>
      <w:r/>
      <w:bookmarkEnd w:id="176"/>
      <w:r/>
      <w:bookmarkEnd w:id="177"/>
      <w:r/>
      <w:bookmarkEnd w:id="178"/>
      <w:r/>
      <w:bookmarkEnd w:id="179"/>
      <w:r/>
      <w:bookmarkEnd w:id="180"/>
      <w:r/>
      <w:bookmarkEnd w:id="181"/>
      <w:r/>
      <w:bookmarkEnd w:id="182"/>
      <w:r/>
      <w:bookmarkEnd w:id="183"/>
      <w:r/>
      <w:bookmarkEnd w:id="192"/>
      <w:r/>
      <w:bookmarkEnd w:id="193"/>
      <w:r/>
      <w:bookmarkEnd w:id="194"/>
      <w:r/>
      <w:bookmarkEnd w:id="195"/>
      <w:r/>
      <w:bookmarkEnd w:id="196"/>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 xml:space="preserve">十六、其他材料（如有）</w:t>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84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46"/>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46"/>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4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46"/>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46"/>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4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4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4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4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4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46"/>
        <w:spacing w:beforeAutospacing="0" w:afterAutospacing="0"/>
        <w:rPr>
          <w:highlight w:val="none"/>
        </w:rPr>
      </w:pPr>
      <w:r>
        <w:rPr>
          <w:highlight w:val="none"/>
        </w:rPr>
      </w:r>
      <w:r/>
    </w:p>
    <w:sectPr>
      <w:footerReference w:type="default" r:id="rId8"/>
      <w:footnotePr/>
      <w:endnotePr/>
      <w:type w:val="nextPage"/>
      <w:pgSz w:w="11906" w:h="16838" w:orient="portrait"/>
      <w:pgMar w:top="1440" w:right="1293" w:bottom="1440" w:left="129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仿宋">
    <w:panose1 w:val="02010609060101010101"/>
  </w:font>
  <w:font w:name="等线">
    <w:panose1 w:val="02010600030101010101"/>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9">
    <w:name w:val="Heading 1"/>
    <w:basedOn w:val="834"/>
    <w:next w:val="834"/>
    <w:link w:val="660"/>
    <w:uiPriority w:val="9"/>
    <w:qFormat/>
    <w:pPr>
      <w:keepLines/>
      <w:keepNext/>
      <w:spacing w:before="480" w:after="200"/>
      <w:outlineLvl w:val="0"/>
    </w:pPr>
    <w:rPr>
      <w:rFonts w:ascii="Arial" w:hAnsi="Arial" w:eastAsia="Arial" w:cs="Arial"/>
      <w:sz w:val="40"/>
      <w:szCs w:val="40"/>
    </w:rPr>
  </w:style>
  <w:style w:type="character" w:styleId="660">
    <w:name w:val="Heading 1 Char"/>
    <w:basedOn w:val="836"/>
    <w:link w:val="659"/>
    <w:uiPriority w:val="9"/>
    <w:rPr>
      <w:rFonts w:ascii="Arial" w:hAnsi="Arial" w:eastAsia="Arial" w:cs="Arial"/>
      <w:sz w:val="40"/>
      <w:szCs w:val="40"/>
    </w:rPr>
  </w:style>
  <w:style w:type="character" w:styleId="661">
    <w:name w:val="Heading 2 Char"/>
    <w:basedOn w:val="836"/>
    <w:link w:val="835"/>
    <w:uiPriority w:val="9"/>
    <w:rPr>
      <w:rFonts w:ascii="Arial" w:hAnsi="Arial" w:eastAsia="Arial" w:cs="Arial"/>
      <w:sz w:val="34"/>
    </w:rPr>
  </w:style>
  <w:style w:type="paragraph" w:styleId="662">
    <w:name w:val="Heading 3"/>
    <w:basedOn w:val="834"/>
    <w:next w:val="834"/>
    <w:link w:val="663"/>
    <w:uiPriority w:val="9"/>
    <w:unhideWhenUsed/>
    <w:qFormat/>
    <w:pPr>
      <w:keepLines/>
      <w:keepNext/>
      <w:spacing w:before="320" w:after="200"/>
      <w:outlineLvl w:val="2"/>
    </w:pPr>
    <w:rPr>
      <w:rFonts w:ascii="Arial" w:hAnsi="Arial" w:eastAsia="Arial" w:cs="Arial"/>
      <w:sz w:val="30"/>
      <w:szCs w:val="30"/>
    </w:rPr>
  </w:style>
  <w:style w:type="character" w:styleId="663">
    <w:name w:val="Heading 3 Char"/>
    <w:basedOn w:val="836"/>
    <w:link w:val="662"/>
    <w:uiPriority w:val="9"/>
    <w:rPr>
      <w:rFonts w:ascii="Arial" w:hAnsi="Arial" w:eastAsia="Arial" w:cs="Arial"/>
      <w:sz w:val="30"/>
      <w:szCs w:val="30"/>
    </w:rPr>
  </w:style>
  <w:style w:type="paragraph" w:styleId="664">
    <w:name w:val="Heading 4"/>
    <w:basedOn w:val="834"/>
    <w:next w:val="834"/>
    <w:link w:val="665"/>
    <w:uiPriority w:val="9"/>
    <w:unhideWhenUsed/>
    <w:qFormat/>
    <w:pPr>
      <w:keepLines/>
      <w:keepNext/>
      <w:spacing w:before="320" w:after="200"/>
      <w:outlineLvl w:val="3"/>
    </w:pPr>
    <w:rPr>
      <w:rFonts w:ascii="Arial" w:hAnsi="Arial" w:eastAsia="Arial" w:cs="Arial"/>
      <w:b/>
      <w:bCs/>
      <w:sz w:val="26"/>
      <w:szCs w:val="26"/>
    </w:rPr>
  </w:style>
  <w:style w:type="character" w:styleId="665">
    <w:name w:val="Heading 4 Char"/>
    <w:basedOn w:val="836"/>
    <w:link w:val="664"/>
    <w:uiPriority w:val="9"/>
    <w:rPr>
      <w:rFonts w:ascii="Arial" w:hAnsi="Arial" w:eastAsia="Arial" w:cs="Arial"/>
      <w:b/>
      <w:bCs/>
      <w:sz w:val="26"/>
      <w:szCs w:val="26"/>
    </w:rPr>
  </w:style>
  <w:style w:type="paragraph" w:styleId="666">
    <w:name w:val="Heading 5"/>
    <w:basedOn w:val="834"/>
    <w:next w:val="834"/>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basedOn w:val="836"/>
    <w:link w:val="666"/>
    <w:uiPriority w:val="9"/>
    <w:rPr>
      <w:rFonts w:ascii="Arial" w:hAnsi="Arial" w:eastAsia="Arial" w:cs="Arial"/>
      <w:b/>
      <w:bCs/>
      <w:sz w:val="24"/>
      <w:szCs w:val="24"/>
    </w:rPr>
  </w:style>
  <w:style w:type="paragraph" w:styleId="668">
    <w:name w:val="Heading 6"/>
    <w:basedOn w:val="834"/>
    <w:next w:val="834"/>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basedOn w:val="836"/>
    <w:link w:val="668"/>
    <w:uiPriority w:val="9"/>
    <w:rPr>
      <w:rFonts w:ascii="Arial" w:hAnsi="Arial" w:eastAsia="Arial" w:cs="Arial"/>
      <w:b/>
      <w:bCs/>
      <w:sz w:val="22"/>
      <w:szCs w:val="22"/>
    </w:rPr>
  </w:style>
  <w:style w:type="paragraph" w:styleId="670">
    <w:name w:val="Heading 7"/>
    <w:basedOn w:val="834"/>
    <w:next w:val="834"/>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basedOn w:val="836"/>
    <w:link w:val="670"/>
    <w:uiPriority w:val="9"/>
    <w:rPr>
      <w:rFonts w:ascii="Arial" w:hAnsi="Arial" w:eastAsia="Arial" w:cs="Arial"/>
      <w:b/>
      <w:bCs/>
      <w:i/>
      <w:iCs/>
      <w:sz w:val="22"/>
      <w:szCs w:val="22"/>
    </w:rPr>
  </w:style>
  <w:style w:type="paragraph" w:styleId="672">
    <w:name w:val="Heading 8"/>
    <w:basedOn w:val="834"/>
    <w:next w:val="834"/>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basedOn w:val="836"/>
    <w:link w:val="672"/>
    <w:uiPriority w:val="9"/>
    <w:rPr>
      <w:rFonts w:ascii="Arial" w:hAnsi="Arial" w:eastAsia="Arial" w:cs="Arial"/>
      <w:i/>
      <w:iCs/>
      <w:sz w:val="22"/>
      <w:szCs w:val="22"/>
    </w:rPr>
  </w:style>
  <w:style w:type="paragraph" w:styleId="674">
    <w:name w:val="Heading 9"/>
    <w:basedOn w:val="834"/>
    <w:next w:val="834"/>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basedOn w:val="836"/>
    <w:link w:val="674"/>
    <w:uiPriority w:val="9"/>
    <w:rPr>
      <w:rFonts w:ascii="Arial" w:hAnsi="Arial" w:eastAsia="Arial" w:cs="Arial"/>
      <w:i/>
      <w:iCs/>
      <w:sz w:val="21"/>
      <w:szCs w:val="21"/>
    </w:rPr>
  </w:style>
  <w:style w:type="paragraph" w:styleId="676">
    <w:name w:val="List Paragraph"/>
    <w:basedOn w:val="834"/>
    <w:uiPriority w:val="34"/>
    <w:qFormat/>
    <w:pPr>
      <w:contextualSpacing/>
      <w:ind w:left="720"/>
    </w:pPr>
  </w:style>
  <w:style w:type="paragraph" w:styleId="677">
    <w:name w:val="No Spacing"/>
    <w:uiPriority w:val="1"/>
    <w:qFormat/>
    <w:pPr>
      <w:spacing w:before="0" w:after="0" w:line="240" w:lineRule="auto"/>
    </w:pPr>
  </w:style>
  <w:style w:type="paragraph" w:styleId="678">
    <w:name w:val="Title"/>
    <w:basedOn w:val="834"/>
    <w:next w:val="834"/>
    <w:link w:val="679"/>
    <w:uiPriority w:val="10"/>
    <w:qFormat/>
    <w:pPr>
      <w:contextualSpacing/>
      <w:spacing w:before="300" w:after="200"/>
    </w:pPr>
    <w:rPr>
      <w:sz w:val="48"/>
      <w:szCs w:val="48"/>
    </w:rPr>
  </w:style>
  <w:style w:type="character" w:styleId="679">
    <w:name w:val="Title Char"/>
    <w:basedOn w:val="836"/>
    <w:link w:val="678"/>
    <w:uiPriority w:val="10"/>
    <w:rPr>
      <w:sz w:val="48"/>
      <w:szCs w:val="48"/>
    </w:rPr>
  </w:style>
  <w:style w:type="paragraph" w:styleId="680">
    <w:name w:val="Subtitle"/>
    <w:basedOn w:val="834"/>
    <w:next w:val="834"/>
    <w:link w:val="681"/>
    <w:uiPriority w:val="11"/>
    <w:qFormat/>
    <w:pPr>
      <w:spacing w:before="200" w:after="200"/>
    </w:pPr>
    <w:rPr>
      <w:sz w:val="24"/>
      <w:szCs w:val="24"/>
    </w:rPr>
  </w:style>
  <w:style w:type="character" w:styleId="681">
    <w:name w:val="Subtitle Char"/>
    <w:basedOn w:val="836"/>
    <w:link w:val="680"/>
    <w:uiPriority w:val="11"/>
    <w:rPr>
      <w:sz w:val="24"/>
      <w:szCs w:val="24"/>
    </w:rPr>
  </w:style>
  <w:style w:type="paragraph" w:styleId="682">
    <w:name w:val="Quote"/>
    <w:basedOn w:val="834"/>
    <w:next w:val="834"/>
    <w:link w:val="683"/>
    <w:uiPriority w:val="29"/>
    <w:qFormat/>
    <w:pPr>
      <w:ind w:left="720" w:right="720"/>
    </w:pPr>
    <w:rPr>
      <w:i/>
    </w:rPr>
  </w:style>
  <w:style w:type="character" w:styleId="683">
    <w:name w:val="Quote Char"/>
    <w:link w:val="682"/>
    <w:uiPriority w:val="29"/>
    <w:rPr>
      <w:i/>
    </w:rPr>
  </w:style>
  <w:style w:type="paragraph" w:styleId="684">
    <w:name w:val="Intense Quote"/>
    <w:basedOn w:val="834"/>
    <w:next w:val="834"/>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character" w:styleId="686">
    <w:name w:val="Header Char"/>
    <w:basedOn w:val="836"/>
    <w:link w:val="845"/>
    <w:uiPriority w:val="99"/>
  </w:style>
  <w:style w:type="character" w:styleId="687">
    <w:name w:val="Footer Char"/>
    <w:basedOn w:val="836"/>
    <w:link w:val="844"/>
    <w:uiPriority w:val="99"/>
  </w:style>
  <w:style w:type="paragraph" w:styleId="688">
    <w:name w:val="Caption"/>
    <w:basedOn w:val="834"/>
    <w:next w:val="834"/>
    <w:uiPriority w:val="35"/>
    <w:semiHidden/>
    <w:unhideWhenUsed/>
    <w:qFormat/>
    <w:pPr>
      <w:spacing w:line="276" w:lineRule="auto"/>
    </w:pPr>
    <w:rPr>
      <w:b/>
      <w:bCs/>
      <w:color w:val="4f81bd" w:themeColor="accent1"/>
      <w:sz w:val="18"/>
      <w:szCs w:val="18"/>
    </w:rPr>
  </w:style>
  <w:style w:type="character" w:styleId="689">
    <w:name w:val="Caption Char"/>
    <w:basedOn w:val="688"/>
    <w:link w:val="844"/>
    <w:uiPriority w:val="99"/>
  </w:style>
  <w:style w:type="table" w:styleId="690">
    <w:name w:val="Table Grid"/>
    <w:basedOn w:val="83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1">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2">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5">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6">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7">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8">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9">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0">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1">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2">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3">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4">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6">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7">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8">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9">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0">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1">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0">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1">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2">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3">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4">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5">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6">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7">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8">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29">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0">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1">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2">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3">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4">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5">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6">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7">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8">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9">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0">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1">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5">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6">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8">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9">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0">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1">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2">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3">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4">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5">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6">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7">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8">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9">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0">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2">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3">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4">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5">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6">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7">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9">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0">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1">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2">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3">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4">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2">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3">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4">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5">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6">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7">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8">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9">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0">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1">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2">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3">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4">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5">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6">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7">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8">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9">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0">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1">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2">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3">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4">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5">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6">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7">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8">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9">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0">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1">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2">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3">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4">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5">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6">
    <w:name w:val="Hyperlink"/>
    <w:uiPriority w:val="99"/>
    <w:unhideWhenUsed/>
    <w:rPr>
      <w:color w:val="0000ff" w:themeColor="hyperlink"/>
      <w:u w:val="single"/>
    </w:rPr>
  </w:style>
  <w:style w:type="paragraph" w:styleId="817">
    <w:name w:val="footnote text"/>
    <w:basedOn w:val="834"/>
    <w:link w:val="818"/>
    <w:uiPriority w:val="99"/>
    <w:semiHidden/>
    <w:unhideWhenUsed/>
    <w:pPr>
      <w:spacing w:after="40" w:line="240" w:lineRule="auto"/>
    </w:pPr>
    <w:rPr>
      <w:sz w:val="18"/>
    </w:rPr>
  </w:style>
  <w:style w:type="character" w:styleId="818">
    <w:name w:val="Footnote Text Char"/>
    <w:link w:val="817"/>
    <w:uiPriority w:val="99"/>
    <w:rPr>
      <w:sz w:val="18"/>
    </w:rPr>
  </w:style>
  <w:style w:type="character" w:styleId="819">
    <w:name w:val="footnote reference"/>
    <w:basedOn w:val="836"/>
    <w:uiPriority w:val="99"/>
    <w:unhideWhenUsed/>
    <w:rPr>
      <w:vertAlign w:val="superscript"/>
    </w:rPr>
  </w:style>
  <w:style w:type="paragraph" w:styleId="820">
    <w:name w:val="endnote text"/>
    <w:basedOn w:val="834"/>
    <w:link w:val="821"/>
    <w:uiPriority w:val="99"/>
    <w:semiHidden/>
    <w:unhideWhenUsed/>
    <w:pPr>
      <w:spacing w:after="0" w:line="240" w:lineRule="auto"/>
    </w:pPr>
    <w:rPr>
      <w:sz w:val="20"/>
    </w:rPr>
  </w:style>
  <w:style w:type="character" w:styleId="821">
    <w:name w:val="Endnote Text Char"/>
    <w:link w:val="820"/>
    <w:uiPriority w:val="99"/>
    <w:rPr>
      <w:sz w:val="20"/>
    </w:rPr>
  </w:style>
  <w:style w:type="character" w:styleId="822">
    <w:name w:val="endnote reference"/>
    <w:basedOn w:val="836"/>
    <w:uiPriority w:val="99"/>
    <w:semiHidden/>
    <w:unhideWhenUsed/>
    <w:rPr>
      <w:vertAlign w:val="superscript"/>
    </w:rPr>
  </w:style>
  <w:style w:type="paragraph" w:styleId="823">
    <w:name w:val="toc 1"/>
    <w:basedOn w:val="834"/>
    <w:next w:val="834"/>
    <w:uiPriority w:val="39"/>
    <w:unhideWhenUsed/>
    <w:pPr>
      <w:ind w:left="0" w:right="0" w:firstLine="0"/>
      <w:spacing w:after="57"/>
    </w:pPr>
  </w:style>
  <w:style w:type="paragraph" w:styleId="824">
    <w:name w:val="toc 2"/>
    <w:basedOn w:val="834"/>
    <w:next w:val="834"/>
    <w:uiPriority w:val="39"/>
    <w:unhideWhenUsed/>
    <w:pPr>
      <w:ind w:left="283" w:right="0" w:firstLine="0"/>
      <w:spacing w:after="57"/>
    </w:pPr>
  </w:style>
  <w:style w:type="paragraph" w:styleId="825">
    <w:name w:val="toc 3"/>
    <w:basedOn w:val="834"/>
    <w:next w:val="834"/>
    <w:uiPriority w:val="39"/>
    <w:unhideWhenUsed/>
    <w:pPr>
      <w:ind w:left="567" w:right="0" w:firstLine="0"/>
      <w:spacing w:after="57"/>
    </w:pPr>
  </w:style>
  <w:style w:type="paragraph" w:styleId="826">
    <w:name w:val="toc 4"/>
    <w:basedOn w:val="834"/>
    <w:next w:val="834"/>
    <w:uiPriority w:val="39"/>
    <w:unhideWhenUsed/>
    <w:pPr>
      <w:ind w:left="850" w:right="0" w:firstLine="0"/>
      <w:spacing w:after="57"/>
    </w:pPr>
  </w:style>
  <w:style w:type="paragraph" w:styleId="827">
    <w:name w:val="toc 5"/>
    <w:basedOn w:val="834"/>
    <w:next w:val="834"/>
    <w:uiPriority w:val="39"/>
    <w:unhideWhenUsed/>
    <w:pPr>
      <w:ind w:left="1134" w:right="0" w:firstLine="0"/>
      <w:spacing w:after="57"/>
    </w:pPr>
  </w:style>
  <w:style w:type="paragraph" w:styleId="828">
    <w:name w:val="toc 6"/>
    <w:basedOn w:val="834"/>
    <w:next w:val="834"/>
    <w:uiPriority w:val="39"/>
    <w:unhideWhenUsed/>
    <w:pPr>
      <w:ind w:left="1417" w:right="0" w:firstLine="0"/>
      <w:spacing w:after="57"/>
    </w:pPr>
  </w:style>
  <w:style w:type="paragraph" w:styleId="829">
    <w:name w:val="toc 7"/>
    <w:basedOn w:val="834"/>
    <w:next w:val="834"/>
    <w:uiPriority w:val="39"/>
    <w:unhideWhenUsed/>
    <w:pPr>
      <w:ind w:left="1701" w:right="0" w:firstLine="0"/>
      <w:spacing w:after="57"/>
    </w:pPr>
  </w:style>
  <w:style w:type="paragraph" w:styleId="830">
    <w:name w:val="toc 8"/>
    <w:basedOn w:val="834"/>
    <w:next w:val="834"/>
    <w:uiPriority w:val="39"/>
    <w:unhideWhenUsed/>
    <w:pPr>
      <w:ind w:left="1984" w:right="0" w:firstLine="0"/>
      <w:spacing w:after="57"/>
    </w:pPr>
  </w:style>
  <w:style w:type="paragraph" w:styleId="831">
    <w:name w:val="toc 9"/>
    <w:basedOn w:val="834"/>
    <w:next w:val="834"/>
    <w:uiPriority w:val="39"/>
    <w:unhideWhenUsed/>
    <w:pPr>
      <w:ind w:left="2268" w:right="0" w:firstLine="0"/>
      <w:spacing w:after="57"/>
    </w:pPr>
  </w:style>
  <w:style w:type="paragraph" w:styleId="832">
    <w:name w:val="TOC Heading"/>
    <w:uiPriority w:val="39"/>
    <w:unhideWhenUsed/>
  </w:style>
  <w:style w:type="paragraph" w:styleId="833">
    <w:name w:val="table of figures"/>
    <w:basedOn w:val="834"/>
    <w:next w:val="834"/>
    <w:uiPriority w:val="99"/>
    <w:unhideWhenUsed/>
    <w:pPr>
      <w:spacing w:after="0" w:afterAutospacing="0"/>
    </w:pPr>
  </w:style>
  <w:style w:type="paragraph" w:styleId="834" w:default="1">
    <w:name w:val="Normal"/>
    <w:next w:val="838"/>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35">
    <w:name w:val="Heading 2"/>
    <w:basedOn w:val="834"/>
    <w:next w:val="83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customStyle="1">
    <w:name w:val="文本块11"/>
    <w:basedOn w:val="834"/>
    <w:uiPriority w:val="99"/>
    <w:unhideWhenUsed/>
    <w:qFormat/>
    <w:pPr>
      <w:ind w:left="1440"/>
      <w:spacing w:after="120"/>
    </w:pPr>
    <w:rPr>
      <w:rFonts w:hint="eastAsia"/>
      <w:sz w:val="21"/>
    </w:rPr>
  </w:style>
  <w:style w:type="paragraph" w:styleId="839">
    <w:name w:val="Normal Indent"/>
    <w:basedOn w:val="834"/>
    <w:next w:val="834"/>
    <w:uiPriority w:val="0"/>
    <w:qFormat/>
    <w:pPr>
      <w:ind w:firstLine="420"/>
    </w:pPr>
    <w:rPr>
      <w:szCs w:val="20"/>
    </w:rPr>
  </w:style>
  <w:style w:type="paragraph" w:styleId="840">
    <w:name w:val="annotation text"/>
    <w:basedOn w:val="834"/>
    <w:uiPriority w:val="0"/>
    <w:qFormat/>
    <w:pPr>
      <w:jc w:val="left"/>
    </w:pPr>
  </w:style>
  <w:style w:type="paragraph" w:styleId="841">
    <w:name w:val="Body Text"/>
    <w:basedOn w:val="834"/>
    <w:next w:val="834"/>
    <w:uiPriority w:val="0"/>
    <w:unhideWhenUsed/>
    <w:qFormat/>
    <w:pPr>
      <w:spacing w:after="120"/>
    </w:pPr>
    <w:rPr>
      <w:rFonts w:ascii="Calibri" w:hAnsi="Calibri"/>
      <w:szCs w:val="22"/>
    </w:rPr>
  </w:style>
  <w:style w:type="paragraph" w:styleId="842">
    <w:name w:val="Block Text"/>
    <w:basedOn w:val="834"/>
    <w:uiPriority w:val="99"/>
    <w:semiHidden/>
    <w:unhideWhenUsed/>
    <w:qFormat/>
    <w:pPr>
      <w:ind w:left="1440" w:right="1440"/>
      <w:spacing w:after="120"/>
    </w:pPr>
  </w:style>
  <w:style w:type="paragraph" w:styleId="843">
    <w:name w:val="Plain Text"/>
    <w:basedOn w:val="834"/>
    <w:uiPriority w:val="0"/>
    <w:unhideWhenUsed/>
    <w:qFormat/>
    <w:rPr>
      <w:rFonts w:ascii="宋体" w:hAnsi="Courier New" w:cs="Courier New"/>
      <w:szCs w:val="21"/>
    </w:rPr>
  </w:style>
  <w:style w:type="paragraph" w:styleId="844">
    <w:name w:val="Footer"/>
    <w:basedOn w:val="834"/>
    <w:link w:val="855"/>
    <w:uiPriority w:val="0"/>
    <w:qFormat/>
    <w:pPr>
      <w:jc w:val="left"/>
      <w:tabs>
        <w:tab w:val="center" w:pos="4153" w:leader="none"/>
        <w:tab w:val="right" w:pos="8306" w:leader="none"/>
      </w:tabs>
    </w:pPr>
    <w:rPr>
      <w:sz w:val="18"/>
      <w:szCs w:val="18"/>
    </w:rPr>
  </w:style>
  <w:style w:type="paragraph" w:styleId="845">
    <w:name w:val="Header"/>
    <w:basedOn w:val="834"/>
    <w:link w:val="854"/>
    <w:uiPriority w:val="0"/>
    <w:qFormat/>
    <w:pPr>
      <w:jc w:val="center"/>
      <w:tabs>
        <w:tab w:val="center" w:pos="4153" w:leader="none"/>
        <w:tab w:val="right" w:pos="8306" w:leader="none"/>
      </w:tabs>
      <w:pBdr>
        <w:bottom w:val="single" w:color="auto" w:sz="6" w:space="1"/>
      </w:pBdr>
    </w:pPr>
    <w:rPr>
      <w:sz w:val="18"/>
      <w:szCs w:val="18"/>
    </w:rPr>
  </w:style>
  <w:style w:type="paragraph" w:styleId="846">
    <w:name w:val="Normal (Web)"/>
    <w:basedOn w:val="834"/>
    <w:uiPriority w:val="0"/>
    <w:qFormat/>
    <w:pPr>
      <w:jc w:val="left"/>
      <w:spacing w:beforeAutospacing="1" w:afterAutospacing="1"/>
    </w:pPr>
    <w:rPr>
      <w:rFonts w:cs="Times New Roman"/>
      <w:sz w:val="24"/>
    </w:rPr>
  </w:style>
  <w:style w:type="paragraph" w:styleId="847">
    <w:name w:val="Body Text First Indent"/>
    <w:basedOn w:val="841"/>
    <w:uiPriority w:val="0"/>
    <w:qFormat/>
    <w:pPr>
      <w:ind w:firstLine="420"/>
    </w:pPr>
  </w:style>
  <w:style w:type="character" w:styleId="848">
    <w:name w:val="Strong"/>
    <w:basedOn w:val="836"/>
    <w:uiPriority w:val="0"/>
    <w:qFormat/>
    <w:rPr>
      <w:b/>
    </w:rPr>
  </w:style>
  <w:style w:type="paragraph" w:styleId="849" w:customStyle="1">
    <w:name w:val="正文文本缩进11"/>
    <w:basedOn w:val="834"/>
    <w:next w:val="850"/>
    <w:uiPriority w:val="0"/>
    <w:unhideWhenUsed/>
    <w:qFormat/>
    <w:pPr>
      <w:ind w:left="420"/>
      <w:spacing w:after="120"/>
    </w:pPr>
  </w:style>
  <w:style w:type="paragraph" w:styleId="850" w:customStyle="1">
    <w:name w:val="正文首行缩进 21"/>
    <w:basedOn w:val="851"/>
    <w:next w:val="834"/>
    <w:uiPriority w:val="0"/>
    <w:qFormat/>
    <w:pPr>
      <w:ind w:firstLine="420"/>
    </w:pPr>
  </w:style>
  <w:style w:type="paragraph" w:styleId="851" w:customStyle="1">
    <w:name w:val="正文文本缩进1"/>
    <w:basedOn w:val="834"/>
    <w:uiPriority w:val="0"/>
    <w:qFormat/>
    <w:pPr>
      <w:ind w:left="420"/>
      <w:spacing w:after="120"/>
    </w:pPr>
  </w:style>
  <w:style w:type="paragraph" w:styleId="852" w:customStyle="1">
    <w:name w:val="文本块1"/>
    <w:basedOn w:val="834"/>
    <w:uiPriority w:val="0"/>
    <w:unhideWhenUsed/>
    <w:qFormat/>
    <w:pPr>
      <w:ind w:left="1440"/>
      <w:spacing w:after="120"/>
    </w:pPr>
    <w:rPr>
      <w:rFonts w:hint="eastAsia"/>
      <w:sz w:val="21"/>
    </w:rPr>
  </w:style>
  <w:style w:type="paragraph" w:styleId="853" w:customStyle="1">
    <w:name w:val="Default"/>
    <w:basedOn w:val="834"/>
    <w:uiPriority w:val="0"/>
    <w:semiHidden/>
    <w:qFormat/>
    <w:pPr>
      <w:jc w:val="left"/>
    </w:pPr>
    <w:rPr>
      <w:rFonts w:ascii="宋体" w:hAnsi="Calibri" w:cs="宋体"/>
      <w:color w:val="000000"/>
      <w:sz w:val="24"/>
    </w:rPr>
  </w:style>
  <w:style w:type="character" w:styleId="854" w:customStyle="1">
    <w:name w:val="页眉 Char"/>
    <w:basedOn w:val="836"/>
    <w:link w:val="845"/>
    <w:uiPriority w:val="0"/>
    <w:qFormat/>
    <w:rPr>
      <w:rFonts w:asciiTheme="minorHAnsi" w:hAnsiTheme="minorHAnsi" w:eastAsiaTheme="minorEastAsia" w:cstheme="minorBidi"/>
      <w:sz w:val="18"/>
      <w:szCs w:val="18"/>
    </w:rPr>
  </w:style>
  <w:style w:type="character" w:styleId="855" w:customStyle="1">
    <w:name w:val="页脚 Char"/>
    <w:basedOn w:val="836"/>
    <w:link w:val="844"/>
    <w:uiPriority w:val="0"/>
    <w:qFormat/>
    <w:rPr>
      <w:rFonts w:asciiTheme="minorHAnsi" w:hAnsiTheme="minorHAnsi" w:eastAsiaTheme="minorEastAsia" w:cstheme="minorBidi"/>
      <w:sz w:val="18"/>
      <w:szCs w:val="18"/>
    </w:rPr>
  </w:style>
  <w:style w:type="paragraph" w:styleId="85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57" w:customStyle="1">
    <w:name w:val="页脚1"/>
    <w:basedOn w:val="834"/>
    <w:uiPriority w:val="99"/>
    <w:unhideWhenUsed/>
    <w:qFormat/>
    <w:pPr>
      <w:jc w:val="left"/>
      <w:tabs>
        <w:tab w:val="center" w:pos="4153" w:leader="none"/>
        <w:tab w:val="right" w:pos="8306" w:leader="none"/>
      </w:tabs>
    </w:pPr>
    <w:rPr>
      <w:sz w:val="18"/>
      <w:szCs w:val="18"/>
    </w:rPr>
  </w:style>
  <w:style w:type="paragraph" w:styleId="858" w:customStyle="1">
    <w:name w:val="普通正文"/>
    <w:basedOn w:val="834"/>
    <w:uiPriority w:val="0"/>
    <w:qFormat/>
    <w:pPr>
      <w:ind w:firstLine="480"/>
      <w:jc w:val="left"/>
      <w:spacing w:before="120" w:after="120" w:line="360" w:lineRule="auto"/>
    </w:pPr>
    <w:rPr>
      <w:rFonts w:ascii="Arial" w:hAnsi="Arial" w:eastAsia="等线" w:cs="Arial"/>
      <w:sz w:val="24"/>
      <w:szCs w:val="24"/>
    </w:rPr>
  </w:style>
  <w:style w:type="paragraph" w:styleId="859" w:customStyle="1">
    <w:name w:val="标题 31"/>
    <w:basedOn w:val="834"/>
    <w:next w:val="860"/>
    <w:uiPriority w:val="0"/>
    <w:qFormat/>
    <w:pPr>
      <w:keepLines/>
      <w:keepNext/>
      <w:spacing w:before="260" w:after="260" w:line="416" w:lineRule="auto"/>
      <w:outlineLvl w:val="2"/>
    </w:pPr>
    <w:rPr>
      <w:b/>
      <w:bCs/>
      <w:sz w:val="32"/>
      <w:szCs w:val="32"/>
    </w:rPr>
  </w:style>
  <w:style w:type="paragraph" w:styleId="860" w:customStyle="1">
    <w:name w:val="正文缩进1"/>
    <w:basedOn w:val="834"/>
    <w:uiPriority w:val="0"/>
    <w:qFormat/>
    <w:pPr>
      <w:ind w:firstLine="420"/>
    </w:pPr>
  </w:style>
  <w:style w:type="paragraph" w:styleId="861" w:customStyle="1">
    <w:name w:val="正文（缩进）"/>
    <w:basedOn w:val="834"/>
    <w:uiPriority w:val="0"/>
    <w:qFormat/>
    <w:pPr>
      <w:ind w:firstLine="480"/>
      <w:spacing w:line="360" w:lineRule="auto"/>
    </w:pPr>
    <w:rPr>
      <w:rFonts w:ascii="Calibri" w:hAnsi="Calibri"/>
      <w:sz w:val="24"/>
      <w:szCs w:val="24"/>
    </w:rPr>
  </w:style>
  <w:style w:type="paragraph" w:styleId="862" w:customStyle="1">
    <w:name w:val="纯文本1"/>
    <w:basedOn w:val="834"/>
    <w:uiPriority w:val="0"/>
    <w:qFormat/>
    <w:rPr>
      <w:rFonts w:ascii="宋体" w:hAnsi="Courier New"/>
    </w:rPr>
  </w:style>
  <w:style w:type="character" w:styleId="863" w:customStyle="1">
    <w:name w:val="font51"/>
    <w:basedOn w:val="836"/>
    <w:uiPriority w:val="0"/>
    <w:qFormat/>
    <w:rPr>
      <w:rFonts w:hint="eastAsia" w:ascii="黑体" w:hAnsi="宋体" w:eastAsia="黑体" w:cs="黑体"/>
      <w:color w:val="000000"/>
      <w:sz w:val="20"/>
      <w:szCs w:val="20"/>
      <w:u w:val="none"/>
    </w:rPr>
  </w:style>
  <w:style w:type="character" w:styleId="864" w:customStyle="1">
    <w:name w:val="font91"/>
    <w:basedOn w:val="836"/>
    <w:uiPriority w:val="0"/>
    <w:qFormat/>
    <w:rPr>
      <w:rFonts w:ascii="Calibri" w:hAnsi="Calibri" w:cs="Calibri"/>
      <w:color w:val="000000"/>
      <w:sz w:val="20"/>
      <w:szCs w:val="20"/>
      <w:u w:val="none"/>
    </w:rPr>
  </w:style>
  <w:style w:type="character" w:styleId="865" w:customStyle="1">
    <w:name w:val="font101"/>
    <w:basedOn w:val="836"/>
    <w:uiPriority w:val="0"/>
    <w:qFormat/>
    <w:rPr>
      <w:rFonts w:ascii="Malgun Gothic" w:hAnsi="Malgun Gothic" w:eastAsia="Malgun Gothic" w:cs="Malgun Gothic"/>
      <w:color w:val="000000"/>
      <w:sz w:val="20"/>
      <w:szCs w:val="20"/>
      <w:u w:val="none"/>
    </w:rPr>
  </w:style>
  <w:style w:type="character" w:styleId="866" w:customStyle="1">
    <w:name w:val="font112"/>
    <w:basedOn w:val="836"/>
    <w:uiPriority w:val="0"/>
    <w:qFormat/>
    <w:rPr>
      <w:rFonts w:hint="eastAsia" w:ascii="Malgun Gothic" w:hAnsi="Malgun Gothic" w:eastAsia="Malgun Gothic" w:cs="Malgun Gothic"/>
      <w:color w:val="000000"/>
      <w:sz w:val="20"/>
      <w:szCs w:val="20"/>
      <w:u w:val="none"/>
    </w:rPr>
  </w:style>
  <w:style w:type="paragraph" w:styleId="867" w:customStyle="1">
    <w:name w:val="普通(网站)1"/>
    <w:basedOn w:val="834"/>
    <w:uiPriority w:val="0"/>
    <w:qFormat/>
    <w:pPr>
      <w:jc w:val="left"/>
      <w:spacing w:before="100" w:beforeAutospacing="1" w:after="100" w:afterAutospacing="1"/>
      <w:widowControl/>
    </w:pPr>
    <w:rPr>
      <w:rFonts w:ascii="宋体" w:hAnsi="宋体" w:cs="宋体"/>
      <w:sz w:val="24"/>
      <w:szCs w:val="24"/>
    </w:rPr>
  </w:style>
  <w:style w:type="character" w:styleId="868" w:customStyle="1">
    <w:name w:val="font21"/>
    <w:basedOn w:val="836"/>
    <w:uiPriority w:val="0"/>
    <w:qFormat/>
    <w:rPr>
      <w:rFonts w:hint="eastAsia" w:ascii="黑体" w:hAnsi="宋体" w:eastAsia="黑体" w:cs="黑体"/>
      <w:b/>
      <w:bCs/>
      <w:color w:val="000000"/>
      <w:sz w:val="18"/>
      <w:szCs w:val="18"/>
      <w:u w:val="none"/>
    </w:rPr>
  </w:style>
  <w:style w:type="character" w:styleId="869" w:customStyle="1">
    <w:name w:val="font41"/>
    <w:basedOn w:val="836"/>
    <w:uiPriority w:val="0"/>
    <w:qFormat/>
    <w:rPr>
      <w:rFonts w:hint="default" w:ascii="Times New Roman" w:hAnsi="Times New Roman" w:cs="Times New Roman"/>
      <w:b/>
      <w:bCs/>
      <w:color w:val="000000"/>
      <w:sz w:val="18"/>
      <w:szCs w:val="18"/>
      <w:u w:val="none"/>
    </w:rPr>
  </w:style>
  <w:style w:type="character" w:styleId="870" w:customStyle="1">
    <w:name w:val="font61"/>
    <w:basedOn w:val="836"/>
    <w:uiPriority w:val="0"/>
    <w:qFormat/>
    <w:rPr>
      <w:rFonts w:hint="eastAsia" w:ascii="宋体" w:hAnsi="宋体" w:eastAsia="宋体" w:cs="宋体"/>
      <w:b/>
      <w:bCs/>
      <w:color w:val="000000"/>
      <w:sz w:val="18"/>
      <w:szCs w:val="18"/>
      <w:u w:val="none"/>
    </w:rPr>
  </w:style>
  <w:style w:type="table" w:styleId="871" w:customStyle="1">
    <w:name w:val="Table Normal"/>
    <w:uiPriority w:val="0"/>
    <w:qFormat/>
    <w:tblPr/>
  </w:style>
  <w:style w:type="numbering" w:styleId="8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江苏雨田工程咨询集团有限公司</cp:lastModifiedBy>
  <cp:revision>122</cp:revision>
  <dcterms:created xsi:type="dcterms:W3CDTF">2014-10-29T12:08:00Z</dcterms:created>
  <dcterms:modified xsi:type="dcterms:W3CDTF">2025-11-14T06:51:30Z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2CE725C660F74BC6B9F9F213959B39C7_13</vt:lpwstr>
  </property>
  <property fmtid="{D5CDD505-2E9C-101B-9397-08002B2CF9AE}" pid="4" name="KSOTemplateDocerSaveRecord">
    <vt:lpwstr>eyJoZGlkIjoiZTVkM2EyNjQ1N2NhYmEyMmE4OWVkZDJmMzAxOTFiZGQiLCJ1c2VySWQiOiIxNzM0NDM5ODczIn0=</vt:lpwstr>
  </property>
</Properties>
</file>